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574305">
      <w:pPr>
        <w:pStyle w:val="27"/>
        <w:spacing w:line="720" w:lineRule="auto"/>
        <w:rPr>
          <w:rFonts w:hint="default" w:eastAsia="黑体"/>
          <w:color w:val="auto"/>
          <w:highlight w:val="none"/>
          <w:lang w:val="en-US" w:eastAsia="zh-CN"/>
        </w:rPr>
      </w:pPr>
      <w:bookmarkStart w:id="0" w:name="_Hlk57883707"/>
      <w:r>
        <w:rPr>
          <w:rFonts w:hint="eastAsia"/>
          <w:color w:val="auto"/>
          <w:highlight w:val="none"/>
          <w:lang w:val="en-US" w:eastAsia="zh-CN"/>
        </w:rPr>
        <w:t xml:space="preserve">                                                                                                                                                                                                                                                                                                                                                                                                                                                                                                                                                                                                                                                                                                                                                                                                                                                                                                                                                                                                              </w:t>
      </w:r>
    </w:p>
    <w:p w14:paraId="182E2F3F">
      <w:pPr>
        <w:pStyle w:val="27"/>
        <w:spacing w:line="720" w:lineRule="auto"/>
        <w:rPr>
          <w:rFonts w:hint="default"/>
          <w:color w:val="auto"/>
          <w:highlight w:val="none"/>
        </w:rPr>
      </w:pPr>
    </w:p>
    <w:bookmarkEnd w:id="0"/>
    <w:p w14:paraId="651C5C6B">
      <w:pPr>
        <w:ind w:firstLine="0" w:firstLineChars="0"/>
        <w:jc w:val="center"/>
        <w:rPr>
          <w:rFonts w:ascii="方正小标宋_GBK" w:eastAsia="方正小标宋_GBK"/>
          <w:bCs/>
          <w:color w:val="auto"/>
          <w:sz w:val="72"/>
          <w:szCs w:val="72"/>
          <w:highlight w:val="none"/>
        </w:rPr>
      </w:pPr>
      <w:bookmarkStart w:id="1" w:name="_Toc10797"/>
      <w:r>
        <w:rPr>
          <w:rFonts w:hint="eastAsia" w:ascii="方正小标宋_GBK" w:eastAsia="方正小标宋_GBK"/>
          <w:bCs/>
          <w:color w:val="auto"/>
          <w:sz w:val="72"/>
          <w:szCs w:val="72"/>
          <w:highlight w:val="none"/>
        </w:rPr>
        <w:t>建设项目</w:t>
      </w:r>
      <w:r>
        <w:rPr>
          <w:rFonts w:hint="eastAsia" w:ascii="方正小标宋_GBK" w:eastAsia="方正小标宋_GBK"/>
          <w:bCs/>
          <w:color w:val="auto"/>
          <w:sz w:val="72"/>
          <w:szCs w:val="72"/>
          <w:highlight w:val="none"/>
        </w:rPr>
        <w:t>环境影响报告</w:t>
      </w:r>
      <w:bookmarkStart w:id="21" w:name="_GoBack"/>
      <w:bookmarkEnd w:id="21"/>
      <w:r>
        <w:rPr>
          <w:rFonts w:hint="eastAsia" w:ascii="方正小标宋_GBK" w:eastAsia="方正小标宋_GBK"/>
          <w:bCs/>
          <w:color w:val="auto"/>
          <w:sz w:val="72"/>
          <w:szCs w:val="72"/>
          <w:highlight w:val="none"/>
        </w:rPr>
        <w:t>表</w:t>
      </w:r>
      <w:bookmarkEnd w:id="1"/>
    </w:p>
    <w:p w14:paraId="65446CB0">
      <w:pPr>
        <w:spacing w:before="192" w:beforeLines="80"/>
        <w:ind w:firstLine="0" w:firstLineChars="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（生态影响类）</w:t>
      </w:r>
    </w:p>
    <w:p w14:paraId="600CCD79">
      <w:pPr>
        <w:pStyle w:val="27"/>
        <w:spacing w:line="720" w:lineRule="auto"/>
        <w:rPr>
          <w:rFonts w:hint="default" w:eastAsia="黑体"/>
          <w:color w:val="auto"/>
          <w:highlight w:val="none"/>
          <w:lang w:val="en-US" w:eastAsia="zh-CN"/>
        </w:rPr>
      </w:pPr>
      <w:bookmarkStart w:id="2" w:name="_Hlk57883728"/>
      <w:r>
        <w:rPr>
          <w:rFonts w:hint="eastAsia"/>
          <w:color w:val="auto"/>
          <w:highlight w:val="none"/>
          <w:lang w:val="en-US" w:eastAsia="zh-CN"/>
        </w:rPr>
        <w:t xml:space="preserve">                                                                                                                                                                                                                                                                                                                                                                                                                                                                                                                                                                                                                                                                                                                                                                                                                                                                                                                                                                                                                                                                                                                                                                                                                                                                                                                                                                                                                                                                                                                                                                                                                                                                                                                                                                                                                                                                       </w:t>
      </w:r>
    </w:p>
    <w:p w14:paraId="3595687F">
      <w:pPr>
        <w:pStyle w:val="27"/>
        <w:spacing w:line="720" w:lineRule="auto"/>
        <w:rPr>
          <w:rFonts w:hint="default"/>
          <w:color w:val="auto"/>
          <w:highlight w:val="none"/>
        </w:rPr>
      </w:pPr>
    </w:p>
    <w:p w14:paraId="7C327ADA">
      <w:pPr>
        <w:rPr>
          <w:color w:val="auto"/>
          <w:sz w:val="21"/>
          <w:szCs w:val="21"/>
          <w:highlight w:val="none"/>
        </w:rPr>
      </w:pPr>
    </w:p>
    <w:p w14:paraId="1050CD51">
      <w:pPr>
        <w:rPr>
          <w:color w:val="auto"/>
          <w:sz w:val="21"/>
          <w:szCs w:val="21"/>
          <w:highlight w:val="none"/>
        </w:rPr>
      </w:pPr>
    </w:p>
    <w:p w14:paraId="1DC6FF55">
      <w:pPr>
        <w:rPr>
          <w:color w:val="auto"/>
          <w:sz w:val="21"/>
          <w:szCs w:val="21"/>
          <w:highlight w:val="none"/>
        </w:rPr>
      </w:pPr>
    </w:p>
    <w:p w14:paraId="3B7B8887">
      <w:pPr>
        <w:rPr>
          <w:color w:val="auto"/>
          <w:sz w:val="21"/>
          <w:szCs w:val="21"/>
          <w:highlight w:val="none"/>
        </w:rPr>
      </w:pPr>
    </w:p>
    <w:p w14:paraId="3CC70AC0">
      <w:pPr>
        <w:rPr>
          <w:color w:val="auto"/>
          <w:sz w:val="21"/>
          <w:szCs w:val="21"/>
          <w:highlight w:val="none"/>
        </w:rPr>
      </w:pPr>
    </w:p>
    <w:p w14:paraId="7F456D7C">
      <w:pPr>
        <w:rPr>
          <w:color w:val="auto"/>
          <w:sz w:val="21"/>
          <w:szCs w:val="21"/>
          <w:highlight w:val="none"/>
        </w:rPr>
      </w:pPr>
    </w:p>
    <w:bookmarkEnd w:id="2"/>
    <w:p w14:paraId="1F95916B">
      <w:pPr>
        <w:spacing w:before="120" w:beforeLines="50" w:after="120" w:afterLines="50"/>
        <w:ind w:left="2350" w:leftChars="300" w:hanging="1630" w:hangingChars="500"/>
        <w:rPr>
          <w:rFonts w:ascii="仿宋_GB2312" w:eastAsia="仿宋_GB2312"/>
          <w:color w:val="auto"/>
          <w:sz w:val="36"/>
          <w:szCs w:val="36"/>
          <w:highlight w:val="none"/>
          <w:u w:val="single"/>
        </w:rPr>
      </w:pPr>
      <w:r>
        <w:rPr>
          <w:rFonts w:hint="eastAsia" w:ascii="仿宋_GB2312" w:eastAsia="仿宋_GB2312"/>
          <w:color w:val="auto"/>
          <w:spacing w:val="-17"/>
          <w:sz w:val="36"/>
          <w:szCs w:val="36"/>
          <w:highlight w:val="none"/>
        </w:rPr>
        <w:t>项目名称：</w:t>
      </w:r>
      <w:r>
        <w:rPr>
          <w:rFonts w:hint="eastAsia" w:ascii="Times New Roman" w:hAnsi="Times New Roman" w:eastAsia="宋体" w:cs="Times New Roman"/>
          <w:color w:val="auto"/>
          <w:kern w:val="2"/>
          <w:sz w:val="32"/>
          <w:szCs w:val="32"/>
          <w:highlight w:val="none"/>
          <w:u w:val="single"/>
          <w:lang w:val="en-US" w:eastAsia="zh-CN" w:bidi="ar"/>
        </w:rPr>
        <w:t>2023年兰西县农村公路提质升级项目临江至长江公路改扩建工程</w:t>
      </w:r>
    </w:p>
    <w:p w14:paraId="4F21E5CA">
      <w:pPr>
        <w:spacing w:before="120" w:beforeLines="50" w:after="120" w:afterLines="50"/>
        <w:ind w:left="0" w:leftChars="0" w:firstLine="720" w:firstLineChars="200"/>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 xml:space="preserve">     </w:t>
      </w:r>
      <w:r>
        <w:rPr>
          <w:rFonts w:hint="eastAsia" w:ascii="Times New Roman" w:hAnsi="Times New Roman" w:eastAsia="宋体" w:cs="Times New Roman"/>
          <w:color w:val="auto"/>
          <w:kern w:val="2"/>
          <w:sz w:val="32"/>
          <w:szCs w:val="32"/>
          <w:highlight w:val="none"/>
          <w:u w:val="single"/>
          <w:lang w:val="en-US" w:eastAsia="zh-CN" w:bidi="ar"/>
        </w:rPr>
        <w:t>兰西县交通运输局</w:t>
      </w:r>
      <w:r>
        <w:rPr>
          <w:rFonts w:hint="eastAsia" w:ascii="仿宋_GB2312" w:eastAsia="仿宋_GB2312"/>
          <w:color w:val="auto"/>
          <w:sz w:val="36"/>
          <w:szCs w:val="36"/>
          <w:highlight w:val="none"/>
          <w:u w:val="single"/>
        </w:rPr>
        <w:t xml:space="preserve">        </w:t>
      </w:r>
    </w:p>
    <w:p w14:paraId="64742AE1">
      <w:pPr>
        <w:spacing w:before="120" w:beforeLines="50" w:after="120" w:afterLines="50"/>
        <w:ind w:left="0" w:leftChars="0" w:firstLine="720" w:firstLineChars="200"/>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r>
        <w:rPr>
          <w:color w:val="auto"/>
          <w:sz w:val="36"/>
          <w:szCs w:val="36"/>
          <w:highlight w:val="none"/>
          <w:u w:val="single"/>
        </w:rPr>
        <w:t xml:space="preserve">      </w:t>
      </w:r>
      <w:r>
        <w:rPr>
          <w:rFonts w:hint="eastAsia" w:ascii="Times New Roman" w:hAnsi="Times New Roman" w:eastAsia="宋体" w:cs="Times New Roman"/>
          <w:color w:val="auto"/>
          <w:kern w:val="2"/>
          <w:sz w:val="32"/>
          <w:szCs w:val="32"/>
          <w:highlight w:val="none"/>
          <w:u w:val="single"/>
          <w:lang w:val="en-US" w:eastAsia="zh-CN" w:bidi="ar"/>
        </w:rPr>
        <w:t>2025年</w:t>
      </w:r>
      <w:r>
        <w:rPr>
          <w:rFonts w:hint="eastAsia" w:cs="Times New Roman"/>
          <w:color w:val="auto"/>
          <w:kern w:val="2"/>
          <w:sz w:val="32"/>
          <w:szCs w:val="32"/>
          <w:highlight w:val="none"/>
          <w:u w:val="single"/>
          <w:lang w:val="en-US" w:eastAsia="zh-CN" w:bidi="ar"/>
        </w:rPr>
        <w:t>4</w:t>
      </w:r>
      <w:r>
        <w:rPr>
          <w:rFonts w:hint="eastAsia" w:ascii="Times New Roman" w:hAnsi="Times New Roman" w:eastAsia="宋体" w:cs="Times New Roman"/>
          <w:color w:val="auto"/>
          <w:kern w:val="2"/>
          <w:sz w:val="32"/>
          <w:szCs w:val="32"/>
          <w:highlight w:val="none"/>
          <w:u w:val="single"/>
          <w:lang w:val="en-US" w:eastAsia="zh-CN" w:bidi="ar"/>
        </w:rPr>
        <w:t>月</w:t>
      </w:r>
      <w:r>
        <w:rPr>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p>
    <w:p w14:paraId="1E1C9A4E">
      <w:pPr>
        <w:pStyle w:val="27"/>
        <w:spacing w:line="720" w:lineRule="auto"/>
        <w:rPr>
          <w:rFonts w:hint="default"/>
          <w:color w:val="auto"/>
          <w:highlight w:val="none"/>
        </w:rPr>
      </w:pPr>
    </w:p>
    <w:p w14:paraId="374E63C3">
      <w:pPr>
        <w:rPr>
          <w:color w:val="auto"/>
          <w:sz w:val="21"/>
          <w:szCs w:val="21"/>
          <w:highlight w:val="none"/>
        </w:rPr>
      </w:pPr>
    </w:p>
    <w:p w14:paraId="0217BEDA">
      <w:pPr>
        <w:rPr>
          <w:color w:val="auto"/>
          <w:sz w:val="21"/>
          <w:szCs w:val="21"/>
          <w:highlight w:val="none"/>
        </w:rPr>
      </w:pPr>
    </w:p>
    <w:p w14:paraId="3D3CF4FA">
      <w:pPr>
        <w:rPr>
          <w:color w:val="auto"/>
          <w:sz w:val="21"/>
          <w:szCs w:val="21"/>
          <w:highlight w:val="none"/>
        </w:rPr>
      </w:pPr>
    </w:p>
    <w:p w14:paraId="2B4070D1">
      <w:pPr>
        <w:adjustRightInd w:val="0"/>
        <w:snapToGrid w:val="0"/>
        <w:spacing w:line="288" w:lineRule="auto"/>
        <w:ind w:firstLine="720"/>
        <w:jc w:val="center"/>
        <w:rPr>
          <w:rFonts w:ascii="楷体_GB2312" w:eastAsia="楷体_GB2312"/>
          <w:color w:val="auto"/>
          <w:sz w:val="36"/>
          <w:szCs w:val="36"/>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ascii="楷体_GB2312" w:eastAsia="楷体_GB2312"/>
          <w:color w:val="auto"/>
          <w:sz w:val="36"/>
          <w:szCs w:val="36"/>
          <w:highlight w:val="none"/>
        </w:rPr>
        <w:t>中华人民共和国生态环境部制</w:t>
      </w:r>
    </w:p>
    <w:p w14:paraId="3F7D7F9A">
      <w:pPr>
        <w:adjustRightInd w:val="0"/>
        <w:snapToGrid w:val="0"/>
        <w:spacing w:line="240" w:lineRule="auto"/>
        <w:ind w:firstLine="0" w:firstLineChars="0"/>
        <w:jc w:val="center"/>
        <w:rPr>
          <w:rFonts w:hint="eastAsia" w:ascii="楷体_GB2312" w:eastAsia="楷体_GB2312"/>
          <w:color w:val="auto"/>
          <w:sz w:val="36"/>
          <w:szCs w:val="36"/>
          <w:highlight w:val="none"/>
          <w:lang w:eastAsia="zh-CN"/>
        </w:rPr>
      </w:pPr>
      <w:r>
        <w:rPr>
          <w:rFonts w:hint="eastAsia" w:ascii="楷体_GB2312" w:eastAsia="楷体_GB2312"/>
          <w:color w:val="auto"/>
          <w:sz w:val="36"/>
          <w:szCs w:val="36"/>
          <w:highlight w:val="none"/>
          <w:lang w:eastAsia="zh-CN"/>
        </w:rPr>
        <w:drawing>
          <wp:anchor distT="0" distB="0" distL="114300" distR="114300" simplePos="0" relativeHeight="251659264" behindDoc="0" locked="0" layoutInCell="1" allowOverlap="1">
            <wp:simplePos x="0" y="0"/>
            <wp:positionH relativeFrom="column">
              <wp:posOffset>-50165</wp:posOffset>
            </wp:positionH>
            <wp:positionV relativeFrom="paragraph">
              <wp:posOffset>-41275</wp:posOffset>
            </wp:positionV>
            <wp:extent cx="5634355" cy="7333615"/>
            <wp:effectExtent l="0" t="0" r="4445" b="635"/>
            <wp:wrapNone/>
            <wp:docPr id="6" name="图片 6" descr="资质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资质_01(1)"/>
                    <pic:cNvPicPr>
                      <a:picLocks noChangeAspect="1"/>
                    </pic:cNvPicPr>
                  </pic:nvPicPr>
                  <pic:blipFill>
                    <a:blip r:embed="rId13"/>
                    <a:srcRect l="8130" t="6626" b="8848"/>
                    <a:stretch>
                      <a:fillRect/>
                    </a:stretch>
                  </pic:blipFill>
                  <pic:spPr>
                    <a:xfrm>
                      <a:off x="0" y="0"/>
                      <a:ext cx="5634355" cy="7333615"/>
                    </a:xfrm>
                    <a:prstGeom prst="rect">
                      <a:avLst/>
                    </a:prstGeom>
                  </pic:spPr>
                </pic:pic>
              </a:graphicData>
            </a:graphic>
          </wp:anchor>
        </w:drawing>
      </w:r>
    </w:p>
    <w:p w14:paraId="2B1CAB64">
      <w:pPr>
        <w:spacing w:line="288" w:lineRule="auto"/>
        <w:ind w:firstLine="0" w:firstLineChars="0"/>
        <w:jc w:val="center"/>
        <w:rPr>
          <w:rFonts w:ascii="黑体" w:hAnsi="黑体" w:eastAsia="黑体" w:cs="黑体"/>
          <w:color w:val="auto"/>
          <w:sz w:val="36"/>
          <w:szCs w:val="36"/>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5C3480D7">
      <w:pPr>
        <w:spacing w:line="288" w:lineRule="auto"/>
        <w:ind w:firstLine="0" w:firstLineChars="0"/>
        <w:jc w:val="center"/>
        <w:rPr>
          <w:rFonts w:ascii="黑体" w:hAnsi="黑体" w:eastAsia="黑体" w:cs="黑体"/>
          <w:color w:val="auto"/>
          <w:sz w:val="36"/>
          <w:szCs w:val="36"/>
          <w:highlight w:val="none"/>
        </w:rPr>
      </w:pPr>
      <w:r>
        <w:rPr>
          <w:rFonts w:hint="eastAsia" w:ascii="黑体" w:hAnsi="黑体" w:eastAsia="黑体" w:cs="黑体"/>
          <w:color w:val="auto"/>
          <w:sz w:val="36"/>
          <w:szCs w:val="36"/>
          <w:highlight w:val="none"/>
        </w:rPr>
        <w:t xml:space="preserve"> 目  录</w:t>
      </w:r>
    </w:p>
    <w:p w14:paraId="7E663235">
      <w:pPr>
        <w:spacing w:line="288" w:lineRule="auto"/>
        <w:ind w:firstLine="0" w:firstLineChars="0"/>
        <w:jc w:val="center"/>
        <w:rPr>
          <w:rFonts w:ascii="黑体" w:hAnsi="黑体" w:eastAsia="黑体" w:cs="黑体"/>
          <w:color w:val="auto"/>
          <w:highlight w:val="none"/>
        </w:rPr>
      </w:pPr>
    </w:p>
    <w:p w14:paraId="775401A0">
      <w:pPr>
        <w:pStyle w:val="12"/>
        <w:tabs>
          <w:tab w:val="right" w:leader="dot" w:pos="8834"/>
        </w:tabs>
        <w:adjustRightInd w:val="0"/>
        <w:snapToGrid w:val="0"/>
        <w:spacing w:line="400" w:lineRule="exact"/>
        <w:ind w:firstLine="0" w:firstLineChars="0"/>
        <w:rPr>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color w:val="auto"/>
          <w:highlight w:val="none"/>
        </w:rPr>
        <w:instrText xml:space="preserve"> HYPERLINK \l "_Toc152588068" </w:instrText>
      </w:r>
      <w:r>
        <w:rPr>
          <w:color w:val="auto"/>
          <w:highlight w:val="none"/>
        </w:rPr>
        <w:fldChar w:fldCharType="separate"/>
      </w:r>
      <w:r>
        <w:rPr>
          <w:rStyle w:val="18"/>
          <w:color w:val="auto"/>
          <w:sz w:val="24"/>
          <w:szCs w:val="24"/>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_Toc152588068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570B025">
      <w:pPr>
        <w:pStyle w:val="12"/>
        <w:tabs>
          <w:tab w:val="right" w:leader="dot" w:pos="8834"/>
        </w:tabs>
        <w:adjustRightInd w:val="0"/>
        <w:snapToGrid w:val="0"/>
        <w:spacing w:line="400" w:lineRule="exact"/>
        <w:ind w:firstLine="0" w:firstLineChars="0"/>
        <w:rPr>
          <w:color w:val="auto"/>
          <w:highlight w:val="none"/>
        </w:rPr>
      </w:pPr>
      <w:r>
        <w:rPr>
          <w:color w:val="auto"/>
          <w:highlight w:val="none"/>
        </w:rPr>
        <w:fldChar w:fldCharType="begin"/>
      </w:r>
      <w:r>
        <w:rPr>
          <w:color w:val="auto"/>
          <w:highlight w:val="none"/>
        </w:rPr>
        <w:instrText xml:space="preserve"> HYPERLINK \l "_Toc152588069" </w:instrText>
      </w:r>
      <w:r>
        <w:rPr>
          <w:color w:val="auto"/>
          <w:highlight w:val="none"/>
        </w:rPr>
        <w:fldChar w:fldCharType="separate"/>
      </w:r>
      <w:r>
        <w:rPr>
          <w:rStyle w:val="18"/>
          <w:color w:val="auto"/>
          <w:sz w:val="24"/>
          <w:szCs w:val="24"/>
          <w:highlight w:val="none"/>
        </w:rPr>
        <w:t>二、建设内容</w:t>
      </w:r>
      <w:r>
        <w:rPr>
          <w:color w:val="auto"/>
          <w:highlight w:val="none"/>
        </w:rPr>
        <w:tab/>
      </w:r>
      <w:r>
        <w:rPr>
          <w:color w:val="auto"/>
          <w:highlight w:val="none"/>
        </w:rPr>
        <w:fldChar w:fldCharType="begin"/>
      </w:r>
      <w:r>
        <w:rPr>
          <w:color w:val="auto"/>
          <w:highlight w:val="none"/>
        </w:rPr>
        <w:instrText xml:space="preserve"> PAGEREF _Toc152588069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613CF0DE">
      <w:pPr>
        <w:pStyle w:val="12"/>
        <w:tabs>
          <w:tab w:val="right" w:leader="dot" w:pos="8834"/>
        </w:tabs>
        <w:adjustRightInd w:val="0"/>
        <w:snapToGrid w:val="0"/>
        <w:spacing w:line="400" w:lineRule="exact"/>
        <w:ind w:firstLine="0" w:firstLineChars="0"/>
        <w:rPr>
          <w:color w:val="auto"/>
          <w:highlight w:val="none"/>
        </w:rPr>
      </w:pPr>
      <w:r>
        <w:rPr>
          <w:color w:val="auto"/>
          <w:highlight w:val="none"/>
        </w:rPr>
        <w:fldChar w:fldCharType="begin"/>
      </w:r>
      <w:r>
        <w:rPr>
          <w:color w:val="auto"/>
          <w:highlight w:val="none"/>
        </w:rPr>
        <w:instrText xml:space="preserve"> HYPERLINK \l "_Toc152588070" </w:instrText>
      </w:r>
      <w:r>
        <w:rPr>
          <w:color w:val="auto"/>
          <w:highlight w:val="none"/>
        </w:rPr>
        <w:fldChar w:fldCharType="separate"/>
      </w:r>
      <w:r>
        <w:rPr>
          <w:rStyle w:val="18"/>
          <w:color w:val="auto"/>
          <w:sz w:val="24"/>
          <w:szCs w:val="24"/>
          <w:highlight w:val="none"/>
        </w:rPr>
        <w:t>三、生态环境现状、保护目标及评价标准</w:t>
      </w:r>
      <w:r>
        <w:rPr>
          <w:color w:val="auto"/>
          <w:highlight w:val="none"/>
        </w:rPr>
        <w:tab/>
      </w:r>
      <w:r>
        <w:rPr>
          <w:color w:val="auto"/>
          <w:highlight w:val="none"/>
        </w:rPr>
        <w:fldChar w:fldCharType="begin"/>
      </w:r>
      <w:r>
        <w:rPr>
          <w:color w:val="auto"/>
          <w:highlight w:val="none"/>
        </w:rPr>
        <w:instrText xml:space="preserve"> PAGEREF _Toc152588070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20CC5B79">
      <w:pPr>
        <w:pStyle w:val="12"/>
        <w:tabs>
          <w:tab w:val="right" w:leader="dot" w:pos="8834"/>
        </w:tabs>
        <w:adjustRightInd w:val="0"/>
        <w:snapToGrid w:val="0"/>
        <w:spacing w:line="400" w:lineRule="exact"/>
        <w:ind w:firstLine="0" w:firstLineChars="0"/>
        <w:rPr>
          <w:color w:val="auto"/>
          <w:highlight w:val="none"/>
        </w:rPr>
      </w:pPr>
      <w:r>
        <w:rPr>
          <w:color w:val="auto"/>
          <w:highlight w:val="none"/>
        </w:rPr>
        <w:fldChar w:fldCharType="begin"/>
      </w:r>
      <w:r>
        <w:rPr>
          <w:color w:val="auto"/>
          <w:highlight w:val="none"/>
        </w:rPr>
        <w:instrText xml:space="preserve"> HYPERLINK \l "_Toc152588071" </w:instrText>
      </w:r>
      <w:r>
        <w:rPr>
          <w:color w:val="auto"/>
          <w:highlight w:val="none"/>
        </w:rPr>
        <w:fldChar w:fldCharType="separate"/>
      </w:r>
      <w:r>
        <w:rPr>
          <w:rStyle w:val="18"/>
          <w:color w:val="auto"/>
          <w:sz w:val="24"/>
          <w:szCs w:val="24"/>
          <w:highlight w:val="none"/>
        </w:rPr>
        <w:t>四、生态环境影响分析</w:t>
      </w:r>
      <w:r>
        <w:rPr>
          <w:color w:val="auto"/>
          <w:highlight w:val="none"/>
        </w:rPr>
        <w:tab/>
      </w:r>
      <w:r>
        <w:rPr>
          <w:color w:val="auto"/>
          <w:highlight w:val="none"/>
        </w:rPr>
        <w:fldChar w:fldCharType="begin"/>
      </w:r>
      <w:r>
        <w:rPr>
          <w:color w:val="auto"/>
          <w:highlight w:val="none"/>
        </w:rPr>
        <w:instrText xml:space="preserve"> PAGEREF _Toc152588071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3A25B4F1">
      <w:pPr>
        <w:pStyle w:val="12"/>
        <w:tabs>
          <w:tab w:val="right" w:leader="dot" w:pos="8834"/>
        </w:tabs>
        <w:adjustRightInd w:val="0"/>
        <w:snapToGrid w:val="0"/>
        <w:spacing w:line="400" w:lineRule="exact"/>
        <w:ind w:firstLine="0" w:firstLineChars="0"/>
        <w:rPr>
          <w:color w:val="auto"/>
          <w:highlight w:val="none"/>
        </w:rPr>
      </w:pPr>
      <w:r>
        <w:rPr>
          <w:color w:val="auto"/>
          <w:highlight w:val="none"/>
        </w:rPr>
        <w:fldChar w:fldCharType="begin"/>
      </w:r>
      <w:r>
        <w:rPr>
          <w:color w:val="auto"/>
          <w:highlight w:val="none"/>
        </w:rPr>
        <w:instrText xml:space="preserve"> HYPERLINK \l "_Toc152588072" </w:instrText>
      </w:r>
      <w:r>
        <w:rPr>
          <w:color w:val="auto"/>
          <w:highlight w:val="none"/>
        </w:rPr>
        <w:fldChar w:fldCharType="separate"/>
      </w:r>
      <w:r>
        <w:rPr>
          <w:rStyle w:val="18"/>
          <w:color w:val="auto"/>
          <w:sz w:val="24"/>
          <w:szCs w:val="24"/>
          <w:highlight w:val="none"/>
        </w:rPr>
        <w:t>五、主要生态环境保护措施</w:t>
      </w:r>
      <w:r>
        <w:rPr>
          <w:color w:val="auto"/>
          <w:highlight w:val="none"/>
        </w:rPr>
        <w:tab/>
      </w:r>
      <w:r>
        <w:rPr>
          <w:color w:val="auto"/>
          <w:highlight w:val="none"/>
        </w:rPr>
        <w:fldChar w:fldCharType="begin"/>
      </w:r>
      <w:r>
        <w:rPr>
          <w:color w:val="auto"/>
          <w:highlight w:val="none"/>
        </w:rPr>
        <w:instrText xml:space="preserve"> PAGEREF _Toc152588072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32701887">
      <w:pPr>
        <w:pStyle w:val="12"/>
        <w:tabs>
          <w:tab w:val="right" w:leader="dot" w:pos="8834"/>
        </w:tabs>
        <w:adjustRightInd w:val="0"/>
        <w:snapToGrid w:val="0"/>
        <w:spacing w:line="400" w:lineRule="exact"/>
        <w:ind w:firstLine="0" w:firstLineChars="0"/>
        <w:rPr>
          <w:color w:val="auto"/>
          <w:highlight w:val="none"/>
        </w:rPr>
      </w:pPr>
      <w:r>
        <w:rPr>
          <w:color w:val="auto"/>
          <w:highlight w:val="none"/>
        </w:rPr>
        <w:fldChar w:fldCharType="begin"/>
      </w:r>
      <w:r>
        <w:rPr>
          <w:color w:val="auto"/>
          <w:highlight w:val="none"/>
        </w:rPr>
        <w:instrText xml:space="preserve"> HYPERLINK \l "_Toc152588073" </w:instrText>
      </w:r>
      <w:r>
        <w:rPr>
          <w:color w:val="auto"/>
          <w:highlight w:val="none"/>
        </w:rPr>
        <w:fldChar w:fldCharType="separate"/>
      </w:r>
      <w:r>
        <w:rPr>
          <w:rStyle w:val="18"/>
          <w:color w:val="auto"/>
          <w:sz w:val="24"/>
          <w:szCs w:val="24"/>
          <w:highlight w:val="none"/>
        </w:rPr>
        <w:t>六、生态环境保护措施监督检查清单</w:t>
      </w:r>
      <w:r>
        <w:rPr>
          <w:color w:val="auto"/>
          <w:highlight w:val="none"/>
        </w:rPr>
        <w:tab/>
      </w:r>
      <w:r>
        <w:rPr>
          <w:color w:val="auto"/>
          <w:highlight w:val="none"/>
        </w:rPr>
        <w:fldChar w:fldCharType="begin"/>
      </w:r>
      <w:r>
        <w:rPr>
          <w:color w:val="auto"/>
          <w:highlight w:val="none"/>
        </w:rPr>
        <w:instrText xml:space="preserve"> PAGEREF _Toc152588073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29213648">
      <w:pPr>
        <w:pStyle w:val="12"/>
        <w:tabs>
          <w:tab w:val="right" w:leader="dot" w:pos="8834"/>
        </w:tabs>
        <w:adjustRightInd w:val="0"/>
        <w:snapToGrid w:val="0"/>
        <w:spacing w:line="400" w:lineRule="exact"/>
        <w:ind w:firstLine="0" w:firstLineChars="0"/>
        <w:rPr>
          <w:color w:val="auto"/>
          <w:highlight w:val="none"/>
        </w:rPr>
      </w:pPr>
      <w:r>
        <w:rPr>
          <w:color w:val="auto"/>
          <w:highlight w:val="none"/>
        </w:rPr>
        <w:fldChar w:fldCharType="begin"/>
      </w:r>
      <w:r>
        <w:rPr>
          <w:color w:val="auto"/>
          <w:highlight w:val="none"/>
        </w:rPr>
        <w:instrText xml:space="preserve"> HYPERLINK \l "_Toc152588074" </w:instrText>
      </w:r>
      <w:r>
        <w:rPr>
          <w:color w:val="auto"/>
          <w:highlight w:val="none"/>
        </w:rPr>
        <w:fldChar w:fldCharType="separate"/>
      </w:r>
      <w:r>
        <w:rPr>
          <w:rStyle w:val="18"/>
          <w:color w:val="auto"/>
          <w:sz w:val="24"/>
          <w:szCs w:val="24"/>
          <w:highlight w:val="none"/>
        </w:rPr>
        <w:t>七、结论</w:t>
      </w:r>
      <w:r>
        <w:rPr>
          <w:color w:val="auto"/>
          <w:highlight w:val="none"/>
        </w:rPr>
        <w:tab/>
      </w:r>
      <w:r>
        <w:rPr>
          <w:color w:val="auto"/>
          <w:highlight w:val="none"/>
        </w:rPr>
        <w:fldChar w:fldCharType="begin"/>
      </w:r>
      <w:r>
        <w:rPr>
          <w:color w:val="auto"/>
          <w:highlight w:val="none"/>
        </w:rPr>
        <w:instrText xml:space="preserve"> PAGEREF _Toc152588074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78BA6154">
      <w:pPr>
        <w:adjustRightInd w:val="0"/>
        <w:snapToGrid w:val="0"/>
        <w:spacing w:line="400" w:lineRule="exact"/>
        <w:ind w:firstLine="0" w:firstLineChars="0"/>
        <w:rPr>
          <w:color w:val="auto"/>
          <w:highlight w:val="none"/>
        </w:rPr>
      </w:pPr>
      <w:r>
        <w:rPr>
          <w:color w:val="auto"/>
          <w:highlight w:val="none"/>
        </w:rPr>
        <w:fldChar w:fldCharType="end"/>
      </w:r>
    </w:p>
    <w:p w14:paraId="4D719FFC">
      <w:pPr>
        <w:adjustRightInd w:val="0"/>
        <w:snapToGrid w:val="0"/>
        <w:spacing w:line="400" w:lineRule="exact"/>
        <w:ind w:firstLine="0" w:firstLineChars="0"/>
        <w:rPr>
          <w:color w:val="auto"/>
          <w:highlight w:val="none"/>
        </w:rPr>
      </w:pPr>
      <w:r>
        <w:rPr>
          <w:rFonts w:hint="eastAsia"/>
          <w:color w:val="auto"/>
          <w:highlight w:val="none"/>
        </w:rPr>
        <w:t>附件</w:t>
      </w:r>
    </w:p>
    <w:p w14:paraId="5E192D9D">
      <w:pPr>
        <w:adjustRightInd w:val="0"/>
        <w:snapToGrid w:val="0"/>
        <w:spacing w:line="400" w:lineRule="exact"/>
        <w:ind w:firstLine="480"/>
        <w:rPr>
          <w:rFonts w:hint="eastAsia"/>
          <w:color w:val="auto"/>
          <w:highlight w:val="none"/>
        </w:rPr>
      </w:pPr>
      <w:r>
        <w:rPr>
          <w:rFonts w:hint="eastAsia"/>
          <w:color w:val="auto"/>
          <w:highlight w:val="none"/>
        </w:rPr>
        <w:t>附件1：兰西县交通运输局关于2023年兰西县农村公路提质升级项目临江至长江公路改扩建工程初步设计的批复</w:t>
      </w:r>
    </w:p>
    <w:p w14:paraId="613E3A89">
      <w:pPr>
        <w:adjustRightInd w:val="0"/>
        <w:snapToGrid w:val="0"/>
        <w:spacing w:line="400" w:lineRule="exact"/>
        <w:ind w:firstLine="480"/>
        <w:rPr>
          <w:rFonts w:hint="eastAsia"/>
          <w:color w:val="auto"/>
          <w:highlight w:val="yellow"/>
        </w:rPr>
      </w:pPr>
      <w:r>
        <w:rPr>
          <w:rFonts w:hint="eastAsia"/>
          <w:color w:val="auto"/>
          <w:highlight w:val="yellow"/>
        </w:rPr>
        <w:t>附件2</w:t>
      </w:r>
      <w:r>
        <w:rPr>
          <w:rFonts w:hint="eastAsia"/>
          <w:color w:val="auto"/>
          <w:highlight w:val="yellow"/>
          <w:lang w:eastAsia="zh-CN"/>
        </w:rPr>
        <w:t>：</w:t>
      </w:r>
      <w:r>
        <w:rPr>
          <w:rFonts w:hint="eastAsia"/>
          <w:color w:val="auto"/>
          <w:highlight w:val="yellow"/>
        </w:rPr>
        <w:t>关于2023年兰西县农村公路提质升级项目临江至长江公路改扩建工程可行性研究报告的批复</w:t>
      </w:r>
    </w:p>
    <w:p w14:paraId="573BC3BC">
      <w:pPr>
        <w:adjustRightInd w:val="0"/>
        <w:snapToGrid w:val="0"/>
        <w:spacing w:line="400" w:lineRule="exact"/>
        <w:ind w:firstLine="480"/>
        <w:rPr>
          <w:rFonts w:hint="eastAsia"/>
          <w:color w:val="auto"/>
          <w:highlight w:val="none"/>
        </w:rPr>
      </w:pPr>
      <w:r>
        <w:rPr>
          <w:rFonts w:hint="eastAsia"/>
          <w:color w:val="auto"/>
          <w:highlight w:val="none"/>
        </w:rPr>
        <w:t>附件</w:t>
      </w:r>
      <w:r>
        <w:rPr>
          <w:rFonts w:hint="eastAsia"/>
          <w:color w:val="auto"/>
          <w:highlight w:val="none"/>
          <w:lang w:val="en-US" w:eastAsia="zh-CN"/>
        </w:rPr>
        <w:t>3</w:t>
      </w:r>
      <w:r>
        <w:rPr>
          <w:rFonts w:hint="eastAsia"/>
          <w:color w:val="auto"/>
          <w:highlight w:val="none"/>
        </w:rPr>
        <w:t>：2023 年兰西县农村公路提质升级项目临江至长江公路改扩建工程生态环境分区管控分析报告</w:t>
      </w:r>
    </w:p>
    <w:p w14:paraId="49EC2C6D">
      <w:pPr>
        <w:adjustRightInd w:val="0"/>
        <w:snapToGrid w:val="0"/>
        <w:spacing w:line="400" w:lineRule="exact"/>
        <w:ind w:firstLine="480"/>
        <w:rPr>
          <w:rFonts w:hint="eastAsia"/>
          <w:color w:val="auto"/>
          <w:highlight w:val="none"/>
        </w:rPr>
      </w:pPr>
      <w:r>
        <w:rPr>
          <w:rFonts w:hint="eastAsia"/>
          <w:color w:val="auto"/>
          <w:highlight w:val="none"/>
        </w:rPr>
        <w:t>附件</w:t>
      </w:r>
      <w:r>
        <w:rPr>
          <w:rFonts w:hint="eastAsia"/>
          <w:color w:val="auto"/>
          <w:highlight w:val="none"/>
          <w:lang w:val="en-US" w:eastAsia="zh-CN"/>
        </w:rPr>
        <w:t>4</w:t>
      </w:r>
      <w:r>
        <w:rPr>
          <w:rFonts w:hint="eastAsia"/>
          <w:color w:val="auto"/>
          <w:highlight w:val="none"/>
        </w:rPr>
        <w:t>：检测报告</w:t>
      </w:r>
    </w:p>
    <w:p w14:paraId="3538D9FB">
      <w:pPr>
        <w:adjustRightInd w:val="0"/>
        <w:snapToGrid w:val="0"/>
        <w:spacing w:line="400" w:lineRule="exact"/>
        <w:ind w:firstLine="480"/>
        <w:rPr>
          <w:rFonts w:hint="eastAsia"/>
          <w:color w:val="auto"/>
          <w:highlight w:val="none"/>
        </w:rPr>
      </w:pPr>
      <w:r>
        <w:rPr>
          <w:rFonts w:hint="eastAsia"/>
          <w:color w:val="auto"/>
          <w:highlight w:val="none"/>
        </w:rPr>
        <w:t>附件</w:t>
      </w:r>
      <w:r>
        <w:rPr>
          <w:rFonts w:hint="eastAsia"/>
          <w:color w:val="auto"/>
          <w:highlight w:val="none"/>
          <w:lang w:val="en-US" w:eastAsia="zh-CN"/>
        </w:rPr>
        <w:t>5</w:t>
      </w:r>
      <w:r>
        <w:rPr>
          <w:rFonts w:hint="eastAsia"/>
          <w:color w:val="auto"/>
          <w:highlight w:val="none"/>
        </w:rPr>
        <w:t>：关于《黑龙江省省道网规划（2023年-2035年）环境影响报告书》的审查意见</w:t>
      </w:r>
    </w:p>
    <w:p w14:paraId="3C6E9B4E">
      <w:pPr>
        <w:adjustRightInd w:val="0"/>
        <w:snapToGrid w:val="0"/>
        <w:spacing w:line="400" w:lineRule="exact"/>
        <w:ind w:firstLine="480"/>
        <w:rPr>
          <w:rFonts w:hint="eastAsia"/>
          <w:color w:val="auto"/>
          <w:highlight w:val="none"/>
        </w:rPr>
      </w:pPr>
    </w:p>
    <w:p w14:paraId="3546A30B">
      <w:pPr>
        <w:adjustRightInd w:val="0"/>
        <w:snapToGrid w:val="0"/>
        <w:spacing w:line="400" w:lineRule="exact"/>
        <w:ind w:firstLine="0" w:firstLineChars="0"/>
        <w:rPr>
          <w:color w:val="auto"/>
          <w:highlight w:val="none"/>
        </w:rPr>
      </w:pPr>
      <w:r>
        <w:rPr>
          <w:rFonts w:hint="eastAsia"/>
          <w:color w:val="auto"/>
          <w:highlight w:val="none"/>
        </w:rPr>
        <w:t>附图</w:t>
      </w:r>
    </w:p>
    <w:p w14:paraId="21139B9B">
      <w:pPr>
        <w:adjustRightInd w:val="0"/>
        <w:snapToGrid w:val="0"/>
        <w:spacing w:line="400" w:lineRule="exact"/>
        <w:ind w:firstLine="480"/>
        <w:rPr>
          <w:rFonts w:hint="eastAsia"/>
          <w:color w:val="auto"/>
          <w:highlight w:val="none"/>
        </w:rPr>
      </w:pPr>
      <w:r>
        <w:rPr>
          <w:rFonts w:hint="eastAsia"/>
          <w:color w:val="auto"/>
          <w:highlight w:val="none"/>
        </w:rPr>
        <w:t>附图1：地理位置图</w:t>
      </w:r>
    </w:p>
    <w:p w14:paraId="0236A785">
      <w:pPr>
        <w:adjustRightInd w:val="0"/>
        <w:snapToGrid w:val="0"/>
        <w:spacing w:line="400" w:lineRule="exact"/>
        <w:ind w:firstLine="480"/>
        <w:rPr>
          <w:color w:val="auto"/>
          <w:highlight w:val="none"/>
        </w:rPr>
      </w:pPr>
      <w:r>
        <w:rPr>
          <w:rFonts w:hint="eastAsia"/>
          <w:color w:val="auto"/>
          <w:highlight w:val="none"/>
        </w:rPr>
        <w:t>附图2：线路走向平纵面缩图</w:t>
      </w:r>
    </w:p>
    <w:p w14:paraId="60E6592A">
      <w:pPr>
        <w:adjustRightInd w:val="0"/>
        <w:snapToGrid w:val="0"/>
        <w:spacing w:line="400" w:lineRule="exact"/>
        <w:ind w:firstLine="480"/>
        <w:rPr>
          <w:rFonts w:hint="eastAsia"/>
          <w:color w:val="auto"/>
          <w:highlight w:val="none"/>
        </w:rPr>
      </w:pPr>
      <w:r>
        <w:rPr>
          <w:rFonts w:hint="eastAsia"/>
          <w:color w:val="auto"/>
          <w:highlight w:val="none"/>
        </w:rPr>
        <w:t>附图3：项目线路走向、现状监测布点、保护目标布置示意图</w:t>
      </w:r>
    </w:p>
    <w:p w14:paraId="7F154E3E">
      <w:pPr>
        <w:adjustRightInd w:val="0"/>
        <w:snapToGrid w:val="0"/>
        <w:spacing w:line="400" w:lineRule="exact"/>
        <w:ind w:firstLine="480"/>
        <w:rPr>
          <w:rFonts w:hint="eastAsia"/>
          <w:color w:val="auto"/>
          <w:highlight w:val="none"/>
        </w:rPr>
      </w:pPr>
      <w:r>
        <w:rPr>
          <w:rFonts w:hint="eastAsia"/>
          <w:color w:val="auto"/>
          <w:highlight w:val="none"/>
        </w:rPr>
        <w:t>附图4：土地利用现状图</w:t>
      </w:r>
    </w:p>
    <w:p w14:paraId="66EC89BE">
      <w:pPr>
        <w:adjustRightInd w:val="0"/>
        <w:snapToGrid w:val="0"/>
        <w:spacing w:line="400" w:lineRule="exact"/>
        <w:ind w:firstLine="480"/>
        <w:rPr>
          <w:rFonts w:hint="eastAsia"/>
          <w:color w:val="auto"/>
          <w:highlight w:val="none"/>
        </w:rPr>
      </w:pPr>
      <w:r>
        <w:rPr>
          <w:rFonts w:hint="eastAsia"/>
          <w:color w:val="auto"/>
          <w:highlight w:val="none"/>
        </w:rPr>
        <w:t>附图5：植被类型图</w:t>
      </w:r>
    </w:p>
    <w:p w14:paraId="62D54854">
      <w:pPr>
        <w:adjustRightInd w:val="0"/>
        <w:snapToGrid w:val="0"/>
        <w:spacing w:line="400" w:lineRule="exact"/>
        <w:ind w:firstLine="480"/>
        <w:rPr>
          <w:rFonts w:hint="eastAsia"/>
          <w:color w:val="auto"/>
          <w:highlight w:val="none"/>
        </w:rPr>
      </w:pPr>
      <w:r>
        <w:rPr>
          <w:rFonts w:hint="eastAsia"/>
          <w:color w:val="auto"/>
          <w:highlight w:val="none"/>
        </w:rPr>
        <w:t>附图6：植被覆盖度图</w:t>
      </w:r>
    </w:p>
    <w:p w14:paraId="20B9FB4E">
      <w:pPr>
        <w:adjustRightInd w:val="0"/>
        <w:snapToGrid w:val="0"/>
        <w:spacing w:line="400" w:lineRule="exact"/>
        <w:ind w:firstLine="480"/>
        <w:rPr>
          <w:rFonts w:hint="eastAsia"/>
          <w:color w:val="auto"/>
          <w:highlight w:val="none"/>
        </w:rPr>
      </w:pPr>
    </w:p>
    <w:p w14:paraId="0ECB3801">
      <w:pPr>
        <w:spacing w:line="480" w:lineRule="auto"/>
        <w:ind w:firstLine="0" w:firstLineChars="0"/>
        <w:rPr>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5323121A">
      <w:pPr>
        <w:pStyle w:val="5"/>
        <w:snapToGrid/>
        <w:spacing w:before="0" w:after="0" w:line="360" w:lineRule="auto"/>
        <w:ind w:left="0" w:firstLine="0" w:firstLineChars="0"/>
        <w:jc w:val="center"/>
        <w:rPr>
          <w:b w:val="0"/>
          <w:bCs w:val="0"/>
          <w:color w:val="auto"/>
          <w:highlight w:val="none"/>
        </w:rPr>
      </w:pPr>
      <w:bookmarkStart w:id="3" w:name="_Toc152588068"/>
      <w:bookmarkStart w:id="4" w:name="_Toc22070"/>
      <w:r>
        <w:rPr>
          <w:rFonts w:hint="eastAsia"/>
          <w:b w:val="0"/>
          <w:bCs w:val="0"/>
          <w:color w:val="auto"/>
          <w:highlight w:val="none"/>
        </w:rPr>
        <w:t>一、建设项目基本情况</w:t>
      </w:r>
      <w:bookmarkEnd w:id="3"/>
      <w:bookmarkEnd w:id="4"/>
    </w:p>
    <w:tbl>
      <w:tblPr>
        <w:tblStyle w:val="15"/>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06"/>
        <w:gridCol w:w="3259"/>
        <w:gridCol w:w="1557"/>
        <w:gridCol w:w="3041"/>
      </w:tblGrid>
      <w:tr w14:paraId="7A1F1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157A9A9C">
            <w:pPr>
              <w:spacing w:line="240" w:lineRule="auto"/>
              <w:ind w:firstLine="0" w:firstLineChars="0"/>
              <w:jc w:val="center"/>
              <w:rPr>
                <w:color w:val="auto"/>
                <w:highlight w:val="none"/>
              </w:rPr>
            </w:pPr>
            <w:r>
              <w:rPr>
                <w:color w:val="auto"/>
                <w:highlight w:val="none"/>
              </w:rPr>
              <w:t>建设项目名称</w:t>
            </w:r>
          </w:p>
        </w:tc>
        <w:tc>
          <w:tcPr>
            <w:tcW w:w="4431" w:type="pct"/>
            <w:gridSpan w:val="3"/>
            <w:vAlign w:val="center"/>
          </w:tcPr>
          <w:p w14:paraId="785CB987">
            <w:pPr>
              <w:spacing w:line="240" w:lineRule="auto"/>
              <w:ind w:firstLine="0" w:firstLineChars="0"/>
              <w:jc w:val="center"/>
              <w:rPr>
                <w:color w:val="auto"/>
                <w:highlight w:val="none"/>
              </w:rPr>
            </w:pPr>
            <w:r>
              <w:rPr>
                <w:rFonts w:hint="eastAsia"/>
                <w:color w:val="auto"/>
                <w:spacing w:val="-6"/>
                <w:highlight w:val="none"/>
              </w:rPr>
              <w:t>2023年兰西县农村公路提质升级项目临江至长江公路改扩建工程</w:t>
            </w:r>
          </w:p>
        </w:tc>
      </w:tr>
      <w:tr w14:paraId="5357D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2D383230">
            <w:pPr>
              <w:spacing w:line="240" w:lineRule="auto"/>
              <w:ind w:firstLine="0" w:firstLineChars="0"/>
              <w:jc w:val="center"/>
              <w:rPr>
                <w:color w:val="auto"/>
                <w:highlight w:val="none"/>
              </w:rPr>
            </w:pPr>
            <w:r>
              <w:rPr>
                <w:color w:val="auto"/>
                <w:highlight w:val="none"/>
              </w:rPr>
              <w:t>项目代码</w:t>
            </w:r>
          </w:p>
        </w:tc>
        <w:tc>
          <w:tcPr>
            <w:tcW w:w="4431" w:type="pct"/>
            <w:gridSpan w:val="3"/>
            <w:vAlign w:val="center"/>
          </w:tcPr>
          <w:p w14:paraId="0AB53905">
            <w:pPr>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2303-231222-04-01-685006</w:t>
            </w:r>
          </w:p>
        </w:tc>
      </w:tr>
      <w:tr w14:paraId="428AC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0138ECAC">
            <w:pPr>
              <w:spacing w:line="240" w:lineRule="auto"/>
              <w:ind w:firstLine="0" w:firstLineChars="0"/>
              <w:jc w:val="center"/>
              <w:rPr>
                <w:color w:val="auto"/>
                <w:highlight w:val="none"/>
              </w:rPr>
            </w:pPr>
            <w:r>
              <w:rPr>
                <w:color w:val="auto"/>
                <w:highlight w:val="none"/>
              </w:rPr>
              <w:t>建设单位联系人</w:t>
            </w:r>
          </w:p>
        </w:tc>
        <w:tc>
          <w:tcPr>
            <w:tcW w:w="1838" w:type="pct"/>
            <w:vAlign w:val="center"/>
          </w:tcPr>
          <w:p w14:paraId="68B26C15">
            <w:pPr>
              <w:spacing w:line="240" w:lineRule="auto"/>
              <w:ind w:firstLine="0" w:firstLineChars="0"/>
              <w:jc w:val="center"/>
              <w:rPr>
                <w:color w:val="auto"/>
                <w:highlight w:val="none"/>
              </w:rPr>
            </w:pPr>
            <w:r>
              <w:rPr>
                <w:rFonts w:hint="eastAsia"/>
                <w:color w:val="auto"/>
                <w:highlight w:val="none"/>
              </w:rPr>
              <w:t>范思旗</w:t>
            </w:r>
          </w:p>
        </w:tc>
        <w:tc>
          <w:tcPr>
            <w:tcW w:w="878" w:type="pct"/>
            <w:vAlign w:val="center"/>
          </w:tcPr>
          <w:p w14:paraId="572AE9E8">
            <w:pPr>
              <w:spacing w:line="240" w:lineRule="auto"/>
              <w:ind w:firstLine="0" w:firstLineChars="0"/>
              <w:jc w:val="center"/>
              <w:rPr>
                <w:color w:val="auto"/>
                <w:highlight w:val="none"/>
              </w:rPr>
            </w:pPr>
            <w:r>
              <w:rPr>
                <w:color w:val="auto"/>
                <w:highlight w:val="none"/>
              </w:rPr>
              <w:t>联系方式</w:t>
            </w:r>
          </w:p>
        </w:tc>
        <w:tc>
          <w:tcPr>
            <w:tcW w:w="1714" w:type="pct"/>
            <w:vAlign w:val="center"/>
          </w:tcPr>
          <w:p w14:paraId="310DD711">
            <w:pPr>
              <w:spacing w:line="240" w:lineRule="auto"/>
              <w:ind w:firstLine="0" w:firstLineChars="0"/>
              <w:jc w:val="center"/>
              <w:rPr>
                <w:color w:val="auto"/>
                <w:highlight w:val="none"/>
              </w:rPr>
            </w:pPr>
            <w:r>
              <w:rPr>
                <w:rFonts w:hint="eastAsia"/>
                <w:color w:val="auto"/>
                <w:highlight w:val="none"/>
              </w:rPr>
              <w:t>18845528183</w:t>
            </w:r>
          </w:p>
        </w:tc>
      </w:tr>
      <w:tr w14:paraId="50C99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7BBE1242">
            <w:pPr>
              <w:spacing w:line="240" w:lineRule="auto"/>
              <w:ind w:firstLine="0" w:firstLineChars="0"/>
              <w:jc w:val="center"/>
              <w:rPr>
                <w:color w:val="auto"/>
                <w:highlight w:val="none"/>
              </w:rPr>
            </w:pPr>
            <w:r>
              <w:rPr>
                <w:color w:val="auto"/>
                <w:highlight w:val="none"/>
              </w:rPr>
              <w:t>建设地点</w:t>
            </w:r>
          </w:p>
        </w:tc>
        <w:tc>
          <w:tcPr>
            <w:tcW w:w="4431" w:type="pct"/>
            <w:gridSpan w:val="3"/>
            <w:vAlign w:val="center"/>
          </w:tcPr>
          <w:p w14:paraId="689722FA">
            <w:pPr>
              <w:ind w:firstLine="0" w:firstLineChars="0"/>
              <w:rPr>
                <w:color w:val="auto"/>
                <w:highlight w:val="none"/>
                <w:u w:val="single"/>
              </w:rPr>
            </w:pPr>
            <w:r>
              <w:rPr>
                <w:color w:val="auto"/>
                <w:highlight w:val="none"/>
              </w:rPr>
              <w:t xml:space="preserve">  </w:t>
            </w:r>
            <w:r>
              <w:rPr>
                <w:color w:val="auto"/>
                <w:highlight w:val="none"/>
                <w:u w:val="single"/>
              </w:rPr>
              <w:t xml:space="preserve">   黑龙江省</w:t>
            </w:r>
            <w:r>
              <w:rPr>
                <w:rFonts w:hint="eastAsia"/>
                <w:color w:val="auto"/>
                <w:highlight w:val="none"/>
                <w:u w:val="single"/>
                <w:lang w:val="en-US" w:eastAsia="zh-CN"/>
              </w:rPr>
              <w:t>绥化市</w:t>
            </w:r>
            <w:r>
              <w:rPr>
                <w:color w:val="auto"/>
                <w:highlight w:val="none"/>
                <w:u w:val="single"/>
              </w:rPr>
              <w:t>市</w:t>
            </w:r>
            <w:r>
              <w:rPr>
                <w:rFonts w:hint="eastAsia"/>
                <w:color w:val="auto"/>
                <w:highlight w:val="none"/>
                <w:u w:val="single"/>
                <w:lang w:val="en-US" w:eastAsia="zh-CN"/>
              </w:rPr>
              <w:t>兰西县</w:t>
            </w:r>
            <w:r>
              <w:rPr>
                <w:rFonts w:hint="eastAsia"/>
                <w:color w:val="auto"/>
                <w:highlight w:val="none"/>
                <w:u w:val="single"/>
              </w:rPr>
              <w:t>，起点K0+000位于前回春岭屯北侧路口处</w:t>
            </w:r>
            <w:r>
              <w:rPr>
                <w:rFonts w:hint="eastAsia"/>
                <w:color w:val="auto"/>
                <w:highlight w:val="none"/>
                <w:u w:val="single"/>
                <w:lang w:eastAsia="zh-CN"/>
              </w:rPr>
              <w:t>，</w:t>
            </w:r>
            <w:r>
              <w:rPr>
                <w:rFonts w:hint="eastAsia"/>
                <w:color w:val="auto"/>
                <w:highlight w:val="none"/>
                <w:u w:val="single"/>
              </w:rPr>
              <w:t>终点 K18+777 位于万宝山南侧。</w:t>
            </w:r>
          </w:p>
        </w:tc>
      </w:tr>
      <w:tr w14:paraId="039EA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13B5AF39">
            <w:pPr>
              <w:spacing w:line="240" w:lineRule="auto"/>
              <w:ind w:firstLine="0" w:firstLineChars="0"/>
              <w:jc w:val="center"/>
              <w:rPr>
                <w:color w:val="auto"/>
                <w:highlight w:val="none"/>
              </w:rPr>
            </w:pPr>
            <w:r>
              <w:rPr>
                <w:color w:val="auto"/>
                <w:highlight w:val="none"/>
              </w:rPr>
              <w:t>地理坐标</w:t>
            </w:r>
          </w:p>
        </w:tc>
        <w:tc>
          <w:tcPr>
            <w:tcW w:w="4431" w:type="pct"/>
            <w:gridSpan w:val="3"/>
            <w:vAlign w:val="center"/>
          </w:tcPr>
          <w:p w14:paraId="65EA0EC2">
            <w:pPr>
              <w:ind w:firstLine="0" w:firstLineChars="0"/>
              <w:jc w:val="left"/>
              <w:rPr>
                <w:color w:val="auto"/>
                <w:highlight w:val="none"/>
              </w:rPr>
            </w:pPr>
            <w:r>
              <w:rPr>
                <w:color w:val="auto"/>
                <w:highlight w:val="none"/>
              </w:rPr>
              <w:t>起点</w:t>
            </w:r>
            <w:r>
              <w:rPr>
                <w:rFonts w:hint="eastAsia"/>
                <w:color w:val="auto"/>
                <w:highlight w:val="none"/>
              </w:rPr>
              <w:t>坐标</w:t>
            </w:r>
            <w:r>
              <w:rPr>
                <w:color w:val="auto"/>
                <w:highlight w:val="none"/>
              </w:rPr>
              <w:t>（</w:t>
            </w:r>
            <w:r>
              <w:rPr>
                <w:rFonts w:hint="eastAsia"/>
                <w:color w:val="auto"/>
                <w:highlight w:val="none"/>
                <w:u w:val="single"/>
                <w:lang w:val="en-US" w:eastAsia="zh-CN"/>
              </w:rPr>
              <w:t>126</w:t>
            </w:r>
            <w:r>
              <w:rPr>
                <w:color w:val="auto"/>
                <w:highlight w:val="none"/>
              </w:rPr>
              <w:t>度</w:t>
            </w:r>
            <w:r>
              <w:rPr>
                <w:rFonts w:hint="eastAsia"/>
                <w:color w:val="auto"/>
                <w:highlight w:val="none"/>
                <w:u w:val="single"/>
                <w:lang w:val="en-US" w:eastAsia="zh-CN"/>
              </w:rPr>
              <w:t>28</w:t>
            </w:r>
            <w:r>
              <w:rPr>
                <w:color w:val="auto"/>
                <w:highlight w:val="none"/>
              </w:rPr>
              <w:t>分</w:t>
            </w:r>
            <w:r>
              <w:rPr>
                <w:rFonts w:hint="eastAsia"/>
                <w:color w:val="auto"/>
                <w:highlight w:val="none"/>
                <w:u w:val="single"/>
                <w:lang w:val="en-US" w:eastAsia="zh-CN"/>
              </w:rPr>
              <w:t>07.375</w:t>
            </w:r>
            <w:r>
              <w:rPr>
                <w:color w:val="auto"/>
                <w:highlight w:val="none"/>
              </w:rPr>
              <w:t>秒，</w:t>
            </w:r>
            <w:r>
              <w:rPr>
                <w:rFonts w:hint="eastAsia"/>
                <w:color w:val="auto"/>
                <w:highlight w:val="none"/>
                <w:u w:val="single"/>
                <w:lang w:val="en-US" w:eastAsia="zh-CN"/>
              </w:rPr>
              <w:t>46</w:t>
            </w:r>
            <w:r>
              <w:rPr>
                <w:color w:val="auto"/>
                <w:highlight w:val="none"/>
              </w:rPr>
              <w:t>度</w:t>
            </w:r>
            <w:r>
              <w:rPr>
                <w:rFonts w:hint="eastAsia"/>
                <w:color w:val="auto"/>
                <w:highlight w:val="none"/>
                <w:u w:val="single"/>
                <w:lang w:val="en-US" w:eastAsia="zh-CN"/>
              </w:rPr>
              <w:t>24</w:t>
            </w:r>
            <w:r>
              <w:rPr>
                <w:color w:val="auto"/>
                <w:highlight w:val="none"/>
              </w:rPr>
              <w:t>分</w:t>
            </w:r>
            <w:r>
              <w:rPr>
                <w:rFonts w:hint="eastAsia"/>
                <w:color w:val="auto"/>
                <w:highlight w:val="none"/>
                <w:u w:val="single"/>
                <w:lang w:val="en-US" w:eastAsia="zh-CN"/>
              </w:rPr>
              <w:t>42.098</w:t>
            </w:r>
            <w:r>
              <w:rPr>
                <w:color w:val="auto"/>
                <w:highlight w:val="none"/>
              </w:rPr>
              <w:t>秒）</w:t>
            </w:r>
          </w:p>
          <w:p w14:paraId="1C6CD612">
            <w:pPr>
              <w:ind w:firstLine="0" w:firstLineChars="0"/>
              <w:jc w:val="left"/>
              <w:rPr>
                <w:color w:val="auto"/>
                <w:highlight w:val="none"/>
              </w:rPr>
            </w:pPr>
            <w:r>
              <w:rPr>
                <w:color w:val="auto"/>
                <w:highlight w:val="none"/>
              </w:rPr>
              <w:t>终点</w:t>
            </w:r>
            <w:r>
              <w:rPr>
                <w:rFonts w:hint="eastAsia"/>
                <w:color w:val="auto"/>
                <w:highlight w:val="none"/>
              </w:rPr>
              <w:t>坐标</w:t>
            </w:r>
            <w:r>
              <w:rPr>
                <w:color w:val="auto"/>
                <w:highlight w:val="none"/>
              </w:rPr>
              <w:t>（</w:t>
            </w:r>
            <w:r>
              <w:rPr>
                <w:rFonts w:hint="eastAsia"/>
                <w:color w:val="auto"/>
                <w:highlight w:val="none"/>
                <w:u w:val="single"/>
                <w:lang w:val="en-US" w:eastAsia="zh-CN"/>
              </w:rPr>
              <w:t>126</w:t>
            </w:r>
            <w:r>
              <w:rPr>
                <w:color w:val="auto"/>
                <w:highlight w:val="none"/>
              </w:rPr>
              <w:t>度</w:t>
            </w:r>
            <w:r>
              <w:rPr>
                <w:rFonts w:hint="eastAsia"/>
                <w:color w:val="auto"/>
                <w:highlight w:val="none"/>
                <w:u w:val="single"/>
                <w:lang w:val="en-US" w:eastAsia="zh-CN"/>
              </w:rPr>
              <w:t>33</w:t>
            </w:r>
            <w:r>
              <w:rPr>
                <w:color w:val="auto"/>
                <w:highlight w:val="none"/>
              </w:rPr>
              <w:t>分</w:t>
            </w:r>
            <w:r>
              <w:rPr>
                <w:rFonts w:hint="eastAsia"/>
                <w:color w:val="auto"/>
                <w:highlight w:val="none"/>
                <w:u w:val="single"/>
                <w:lang w:val="en-US" w:eastAsia="zh-CN"/>
              </w:rPr>
              <w:t>20.962</w:t>
            </w:r>
            <w:r>
              <w:rPr>
                <w:color w:val="auto"/>
                <w:highlight w:val="none"/>
              </w:rPr>
              <w:t>秒，</w:t>
            </w:r>
            <w:r>
              <w:rPr>
                <w:rFonts w:hint="eastAsia"/>
                <w:color w:val="auto"/>
                <w:highlight w:val="none"/>
                <w:u w:val="single"/>
                <w:lang w:val="en-US" w:eastAsia="zh-CN"/>
              </w:rPr>
              <w:t>46</w:t>
            </w:r>
            <w:r>
              <w:rPr>
                <w:color w:val="auto"/>
                <w:highlight w:val="none"/>
              </w:rPr>
              <w:t>度</w:t>
            </w:r>
            <w:r>
              <w:rPr>
                <w:rFonts w:hint="eastAsia"/>
                <w:color w:val="auto"/>
                <w:highlight w:val="none"/>
                <w:u w:val="single"/>
                <w:lang w:val="en-US" w:eastAsia="zh-CN"/>
              </w:rPr>
              <w:t>16</w:t>
            </w:r>
            <w:r>
              <w:rPr>
                <w:color w:val="auto"/>
                <w:highlight w:val="none"/>
              </w:rPr>
              <w:t>分</w:t>
            </w:r>
            <w:r>
              <w:rPr>
                <w:rFonts w:hint="eastAsia"/>
                <w:color w:val="auto"/>
                <w:highlight w:val="none"/>
                <w:u w:val="single"/>
                <w:lang w:val="en-US" w:eastAsia="zh-CN"/>
              </w:rPr>
              <w:t>43.780</w:t>
            </w:r>
            <w:r>
              <w:rPr>
                <w:color w:val="auto"/>
                <w:highlight w:val="none"/>
              </w:rPr>
              <w:t>秒）</w:t>
            </w:r>
          </w:p>
        </w:tc>
      </w:tr>
      <w:tr w14:paraId="3DAD8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21D6B432">
            <w:pPr>
              <w:ind w:firstLine="0" w:firstLineChars="0"/>
              <w:jc w:val="center"/>
              <w:rPr>
                <w:color w:val="auto"/>
                <w:highlight w:val="none"/>
              </w:rPr>
            </w:pPr>
            <w:r>
              <w:rPr>
                <w:color w:val="auto"/>
                <w:highlight w:val="none"/>
              </w:rPr>
              <w:t>建设项目行业类别</w:t>
            </w:r>
          </w:p>
        </w:tc>
        <w:tc>
          <w:tcPr>
            <w:tcW w:w="1838" w:type="pct"/>
            <w:vAlign w:val="center"/>
          </w:tcPr>
          <w:p w14:paraId="6CFC6D16">
            <w:pPr>
              <w:spacing w:line="312" w:lineRule="auto"/>
              <w:ind w:firstLine="0" w:firstLineChars="0"/>
              <w:jc w:val="center"/>
              <w:rPr>
                <w:color w:val="auto"/>
                <w:highlight w:val="none"/>
              </w:rPr>
            </w:pPr>
            <w:r>
              <w:rPr>
                <w:color w:val="auto"/>
                <w:highlight w:val="none"/>
              </w:rPr>
              <w:t>五十二、交通运输业、管道运输业</w:t>
            </w:r>
            <w:r>
              <w:rPr>
                <w:rFonts w:hint="eastAsia"/>
                <w:color w:val="auto"/>
                <w:highlight w:val="none"/>
              </w:rPr>
              <w:t>-</w:t>
            </w:r>
            <w:r>
              <w:rPr>
                <w:color w:val="auto"/>
                <w:highlight w:val="none"/>
              </w:rPr>
              <w:t>130项、等级公路（不含维护；不含生命救援、应急保通工程以及国防交通保障项目；不含改扩建四级公路）</w:t>
            </w:r>
          </w:p>
        </w:tc>
        <w:tc>
          <w:tcPr>
            <w:tcW w:w="878" w:type="pct"/>
            <w:vAlign w:val="center"/>
          </w:tcPr>
          <w:p w14:paraId="358965A3">
            <w:pPr>
              <w:spacing w:line="312" w:lineRule="auto"/>
              <w:ind w:firstLine="0" w:firstLineChars="0"/>
              <w:jc w:val="center"/>
              <w:rPr>
                <w:color w:val="auto"/>
                <w:highlight w:val="none"/>
              </w:rPr>
            </w:pPr>
            <w:r>
              <w:rPr>
                <w:color w:val="auto"/>
                <w:highlight w:val="none"/>
              </w:rPr>
              <w:t>用地面积（m</w:t>
            </w:r>
            <w:r>
              <w:rPr>
                <w:color w:val="auto"/>
                <w:highlight w:val="none"/>
                <w:vertAlign w:val="superscript"/>
              </w:rPr>
              <w:t>2</w:t>
            </w:r>
            <w:r>
              <w:rPr>
                <w:color w:val="auto"/>
                <w:highlight w:val="none"/>
              </w:rPr>
              <w:t>）/</w:t>
            </w:r>
          </w:p>
          <w:p w14:paraId="6439050E">
            <w:pPr>
              <w:spacing w:line="312" w:lineRule="auto"/>
              <w:ind w:firstLine="0" w:firstLineChars="0"/>
              <w:jc w:val="center"/>
              <w:rPr>
                <w:color w:val="auto"/>
                <w:highlight w:val="none"/>
              </w:rPr>
            </w:pPr>
            <w:r>
              <w:rPr>
                <w:color w:val="auto"/>
                <w:highlight w:val="none"/>
              </w:rPr>
              <w:t>长度（km）</w:t>
            </w:r>
          </w:p>
        </w:tc>
        <w:tc>
          <w:tcPr>
            <w:tcW w:w="1714" w:type="pct"/>
            <w:vAlign w:val="center"/>
          </w:tcPr>
          <w:p w14:paraId="16147D02">
            <w:pPr>
              <w:spacing w:line="312" w:lineRule="auto"/>
              <w:ind w:firstLine="0" w:firstLineChars="0"/>
              <w:jc w:val="center"/>
              <w:rPr>
                <w:color w:val="auto"/>
                <w:highlight w:val="none"/>
              </w:rPr>
            </w:pPr>
            <w:r>
              <w:rPr>
                <w:rFonts w:hint="eastAsia"/>
                <w:color w:val="auto"/>
                <w:highlight w:val="none"/>
              </w:rPr>
              <w:t>230183</w:t>
            </w:r>
            <w:r>
              <w:rPr>
                <w:color w:val="auto"/>
                <w:highlight w:val="none"/>
              </w:rPr>
              <w:t>m</w:t>
            </w:r>
            <w:r>
              <w:rPr>
                <w:color w:val="auto"/>
                <w:highlight w:val="none"/>
                <w:vertAlign w:val="superscript"/>
              </w:rPr>
              <w:t>2</w:t>
            </w:r>
            <w:r>
              <w:rPr>
                <w:rFonts w:hint="eastAsia"/>
                <w:color w:val="auto"/>
                <w:highlight w:val="none"/>
              </w:rPr>
              <w:t>/18.777</w:t>
            </w:r>
            <w:r>
              <w:rPr>
                <w:rFonts w:hint="eastAsia"/>
                <w:color w:val="auto"/>
                <w:highlight w:val="none"/>
                <w:lang w:val="en-US" w:eastAsia="zh-CN"/>
              </w:rPr>
              <w:t>k</w:t>
            </w:r>
            <w:r>
              <w:rPr>
                <w:rFonts w:hint="eastAsia"/>
                <w:color w:val="auto"/>
                <w:highlight w:val="none"/>
              </w:rPr>
              <w:t>m</w:t>
            </w:r>
          </w:p>
        </w:tc>
      </w:tr>
      <w:tr w14:paraId="26743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67258206">
            <w:pPr>
              <w:ind w:firstLine="0" w:firstLineChars="0"/>
              <w:jc w:val="center"/>
              <w:rPr>
                <w:color w:val="auto"/>
                <w:highlight w:val="none"/>
              </w:rPr>
            </w:pPr>
            <w:r>
              <w:rPr>
                <w:color w:val="auto"/>
                <w:highlight w:val="none"/>
              </w:rPr>
              <w:t>建设性质</w:t>
            </w:r>
          </w:p>
        </w:tc>
        <w:tc>
          <w:tcPr>
            <w:tcW w:w="1838" w:type="pct"/>
            <w:vAlign w:val="center"/>
          </w:tcPr>
          <w:p w14:paraId="16FB557A">
            <w:pPr>
              <w:ind w:firstLine="0" w:firstLineChars="0"/>
              <w:jc w:val="left"/>
              <w:rPr>
                <w:color w:val="auto"/>
                <w:highlight w:val="none"/>
              </w:rPr>
            </w:pPr>
            <w:r>
              <w:rPr>
                <w:rFonts w:hint="eastAsia" w:ascii="宋体" w:hAnsi="宋体" w:cs="宋体"/>
                <w:color w:val="auto"/>
                <w:highlight w:val="none"/>
              </w:rPr>
              <w:t>□</w:t>
            </w:r>
            <w:r>
              <w:rPr>
                <w:color w:val="auto"/>
                <w:highlight w:val="none"/>
              </w:rPr>
              <w:t>新建（迁建）</w:t>
            </w:r>
          </w:p>
          <w:p w14:paraId="53DC8C21">
            <w:pPr>
              <w:ind w:firstLine="0" w:firstLineChars="0"/>
              <w:jc w:val="left"/>
              <w:rPr>
                <w:color w:val="auto"/>
                <w:highlight w:val="none"/>
              </w:rPr>
            </w:pPr>
            <w:r>
              <w:rPr>
                <w:rFonts w:hint="eastAsia" w:ascii="宋体" w:hAnsi="宋体" w:cs="宋体"/>
                <w:color w:val="auto"/>
                <w:highlight w:val="none"/>
              </w:rPr>
              <w:t>■</w:t>
            </w:r>
            <w:r>
              <w:rPr>
                <w:color w:val="auto"/>
                <w:highlight w:val="none"/>
              </w:rPr>
              <w:t>改建</w:t>
            </w:r>
          </w:p>
          <w:p w14:paraId="6493307E">
            <w:pPr>
              <w:ind w:firstLine="0" w:firstLineChars="0"/>
              <w:jc w:val="left"/>
              <w:rPr>
                <w:color w:val="auto"/>
                <w:highlight w:val="none"/>
              </w:rPr>
            </w:pPr>
            <w:r>
              <w:rPr>
                <w:rFonts w:hint="eastAsia" w:ascii="宋体" w:hAnsi="宋体" w:cs="宋体"/>
                <w:color w:val="auto"/>
                <w:highlight w:val="none"/>
              </w:rPr>
              <w:t>■</w:t>
            </w:r>
            <w:r>
              <w:rPr>
                <w:color w:val="auto"/>
                <w:highlight w:val="none"/>
              </w:rPr>
              <w:t>扩建</w:t>
            </w:r>
          </w:p>
          <w:p w14:paraId="57C1E4BD">
            <w:pPr>
              <w:ind w:firstLine="0" w:firstLineChars="0"/>
              <w:jc w:val="left"/>
              <w:rPr>
                <w:color w:val="auto"/>
                <w:highlight w:val="none"/>
              </w:rPr>
            </w:pPr>
            <w:r>
              <w:rPr>
                <w:rFonts w:hint="eastAsia" w:ascii="宋体" w:hAnsi="宋体" w:cs="宋体"/>
                <w:color w:val="auto"/>
                <w:highlight w:val="none"/>
              </w:rPr>
              <w:t>□</w:t>
            </w:r>
            <w:r>
              <w:rPr>
                <w:color w:val="auto"/>
                <w:highlight w:val="none"/>
              </w:rPr>
              <w:t>技术改造</w:t>
            </w:r>
          </w:p>
        </w:tc>
        <w:tc>
          <w:tcPr>
            <w:tcW w:w="878" w:type="pct"/>
            <w:vAlign w:val="center"/>
          </w:tcPr>
          <w:p w14:paraId="4199ADFE">
            <w:pPr>
              <w:ind w:firstLine="0" w:firstLineChars="0"/>
              <w:jc w:val="center"/>
              <w:rPr>
                <w:color w:val="auto"/>
                <w:highlight w:val="none"/>
              </w:rPr>
            </w:pPr>
            <w:r>
              <w:rPr>
                <w:color w:val="auto"/>
                <w:highlight w:val="none"/>
              </w:rPr>
              <w:t>建设项目申报情形</w:t>
            </w:r>
          </w:p>
        </w:tc>
        <w:tc>
          <w:tcPr>
            <w:tcW w:w="1714" w:type="pct"/>
            <w:vAlign w:val="center"/>
          </w:tcPr>
          <w:p w14:paraId="0AF7AC9B">
            <w:pPr>
              <w:ind w:firstLine="0" w:firstLineChars="0"/>
              <w:jc w:val="left"/>
              <w:rPr>
                <w:color w:val="auto"/>
                <w:highlight w:val="none"/>
              </w:rPr>
            </w:pPr>
            <w:r>
              <w:rPr>
                <w:rFonts w:hint="eastAsia" w:ascii="宋体" w:hAnsi="宋体" w:cs="宋体"/>
                <w:color w:val="auto"/>
                <w:highlight w:val="none"/>
              </w:rPr>
              <w:t>■</w:t>
            </w:r>
            <w:r>
              <w:rPr>
                <w:color w:val="auto"/>
                <w:highlight w:val="none"/>
              </w:rPr>
              <w:t>首次申报项目</w:t>
            </w:r>
          </w:p>
          <w:p w14:paraId="30BE6146">
            <w:pPr>
              <w:ind w:firstLine="0" w:firstLineChars="0"/>
              <w:jc w:val="left"/>
              <w:rPr>
                <w:color w:val="auto"/>
                <w:highlight w:val="none"/>
              </w:rPr>
            </w:pPr>
            <w:r>
              <w:rPr>
                <w:rFonts w:hint="eastAsia" w:ascii="宋体" w:hAnsi="宋体" w:cs="宋体"/>
                <w:color w:val="auto"/>
                <w:highlight w:val="none"/>
              </w:rPr>
              <w:t>□</w:t>
            </w:r>
            <w:r>
              <w:rPr>
                <w:color w:val="auto"/>
                <w:highlight w:val="none"/>
              </w:rPr>
              <w:t>不予批准后再次申报项目</w:t>
            </w:r>
          </w:p>
          <w:p w14:paraId="2A5BEED5">
            <w:pPr>
              <w:ind w:firstLine="0" w:firstLineChars="0"/>
              <w:jc w:val="left"/>
              <w:rPr>
                <w:color w:val="auto"/>
                <w:highlight w:val="none"/>
              </w:rPr>
            </w:pPr>
            <w:r>
              <w:rPr>
                <w:rFonts w:hint="eastAsia" w:ascii="宋体" w:hAnsi="宋体" w:cs="宋体"/>
                <w:color w:val="auto"/>
                <w:highlight w:val="none"/>
              </w:rPr>
              <w:t>□</w:t>
            </w:r>
            <w:r>
              <w:rPr>
                <w:color w:val="auto"/>
                <w:highlight w:val="none"/>
              </w:rPr>
              <w:t>超五年重新审核项目</w:t>
            </w:r>
          </w:p>
          <w:p w14:paraId="588DA7F0">
            <w:pPr>
              <w:ind w:firstLine="0" w:firstLineChars="0"/>
              <w:jc w:val="left"/>
              <w:rPr>
                <w:color w:val="auto"/>
                <w:highlight w:val="none"/>
              </w:rPr>
            </w:pPr>
            <w:r>
              <w:rPr>
                <w:rFonts w:hint="eastAsia" w:ascii="宋体" w:hAnsi="宋体" w:cs="宋体"/>
                <w:color w:val="auto"/>
                <w:highlight w:val="none"/>
              </w:rPr>
              <w:t>□</w:t>
            </w:r>
            <w:r>
              <w:rPr>
                <w:color w:val="auto"/>
                <w:highlight w:val="none"/>
              </w:rPr>
              <w:t>重大变动重新报批项目</w:t>
            </w:r>
          </w:p>
        </w:tc>
      </w:tr>
      <w:tr w14:paraId="222BA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3537F361">
            <w:pPr>
              <w:spacing w:line="240" w:lineRule="auto"/>
              <w:ind w:firstLine="0" w:firstLineChars="0"/>
              <w:jc w:val="center"/>
              <w:rPr>
                <w:color w:val="auto"/>
                <w:highlight w:val="none"/>
              </w:rPr>
            </w:pPr>
            <w:r>
              <w:rPr>
                <w:color w:val="auto"/>
                <w:highlight w:val="none"/>
              </w:rPr>
              <w:t>项目审批（核准/备案）部门（选填）</w:t>
            </w:r>
          </w:p>
        </w:tc>
        <w:tc>
          <w:tcPr>
            <w:tcW w:w="1838" w:type="pct"/>
            <w:vAlign w:val="center"/>
          </w:tcPr>
          <w:p w14:paraId="7A391055">
            <w:pPr>
              <w:ind w:firstLine="0" w:firstLineChars="0"/>
              <w:jc w:val="center"/>
              <w:rPr>
                <w:rFonts w:hint="eastAsia" w:eastAsia="宋体"/>
                <w:color w:val="auto"/>
                <w:highlight w:val="none"/>
                <w:lang w:eastAsia="zh-CN"/>
              </w:rPr>
            </w:pPr>
            <w:r>
              <w:rPr>
                <w:rFonts w:hint="eastAsia"/>
                <w:color w:val="auto"/>
                <w:highlight w:val="none"/>
                <w:lang w:val="en-US" w:eastAsia="zh-CN"/>
              </w:rPr>
              <w:t>兰西县</w:t>
            </w:r>
            <w:r>
              <w:rPr>
                <w:rFonts w:hint="eastAsia"/>
                <w:color w:val="auto"/>
                <w:highlight w:val="none"/>
              </w:rPr>
              <w:t>发展和改革</w:t>
            </w:r>
            <w:r>
              <w:rPr>
                <w:rFonts w:hint="eastAsia"/>
                <w:color w:val="auto"/>
                <w:highlight w:val="none"/>
                <w:lang w:val="en-US" w:eastAsia="zh-CN"/>
              </w:rPr>
              <w:t>局</w:t>
            </w:r>
          </w:p>
        </w:tc>
        <w:tc>
          <w:tcPr>
            <w:tcW w:w="878" w:type="pct"/>
            <w:vAlign w:val="center"/>
          </w:tcPr>
          <w:p w14:paraId="0A0A3213">
            <w:pPr>
              <w:spacing w:line="240" w:lineRule="auto"/>
              <w:ind w:firstLine="0" w:firstLineChars="0"/>
              <w:jc w:val="center"/>
              <w:rPr>
                <w:color w:val="auto"/>
                <w:highlight w:val="none"/>
              </w:rPr>
            </w:pPr>
            <w:r>
              <w:rPr>
                <w:color w:val="auto"/>
                <w:highlight w:val="none"/>
              </w:rPr>
              <w:t>项目审批（核准/备案）文号（选填）</w:t>
            </w:r>
          </w:p>
        </w:tc>
        <w:tc>
          <w:tcPr>
            <w:tcW w:w="1714" w:type="pct"/>
            <w:vAlign w:val="center"/>
          </w:tcPr>
          <w:p w14:paraId="3172AE5E">
            <w:pPr>
              <w:ind w:firstLine="0" w:firstLineChars="0"/>
              <w:jc w:val="center"/>
              <w:rPr>
                <w:color w:val="auto"/>
                <w:highlight w:val="none"/>
              </w:rPr>
            </w:pPr>
            <w:r>
              <w:rPr>
                <w:rFonts w:hint="default" w:ascii="Times New Roman" w:hAnsi="Times New Roman" w:cs="Times New Roman"/>
                <w:color w:val="auto"/>
                <w:highlight w:val="none"/>
                <w:lang w:val="en-US" w:eastAsia="zh-CN"/>
              </w:rPr>
              <w:t>兰发改</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2023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38</w:t>
            </w:r>
            <w:r>
              <w:rPr>
                <w:rFonts w:hint="default" w:ascii="Times New Roman" w:hAnsi="Times New Roman" w:cs="Times New Roman"/>
                <w:color w:val="auto"/>
                <w:highlight w:val="none"/>
              </w:rPr>
              <w:t>号</w:t>
            </w:r>
          </w:p>
        </w:tc>
      </w:tr>
      <w:tr w14:paraId="3AE83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32898575">
            <w:pPr>
              <w:spacing w:line="240" w:lineRule="auto"/>
              <w:ind w:firstLine="0" w:firstLineChars="0"/>
              <w:jc w:val="center"/>
              <w:rPr>
                <w:color w:val="auto"/>
                <w:highlight w:val="none"/>
              </w:rPr>
            </w:pPr>
            <w:r>
              <w:rPr>
                <w:color w:val="auto"/>
                <w:highlight w:val="none"/>
              </w:rPr>
              <w:t>总投资（万元）</w:t>
            </w:r>
          </w:p>
        </w:tc>
        <w:tc>
          <w:tcPr>
            <w:tcW w:w="1838" w:type="pct"/>
            <w:vAlign w:val="center"/>
          </w:tcPr>
          <w:p w14:paraId="1653EDB7">
            <w:pPr>
              <w:ind w:firstLine="0" w:firstLineChars="0"/>
              <w:jc w:val="center"/>
              <w:rPr>
                <w:rFonts w:hint="default"/>
                <w:color w:val="auto"/>
                <w:highlight w:val="none"/>
                <w:lang w:val="en-US"/>
              </w:rPr>
            </w:pPr>
            <w:r>
              <w:rPr>
                <w:rFonts w:hint="eastAsia"/>
                <w:color w:val="auto"/>
                <w:highlight w:val="none"/>
                <w:lang w:val="en-US" w:eastAsia="zh-CN"/>
              </w:rPr>
              <w:t>8382.6311</w:t>
            </w:r>
          </w:p>
        </w:tc>
        <w:tc>
          <w:tcPr>
            <w:tcW w:w="878" w:type="pct"/>
            <w:tcMar>
              <w:top w:w="16" w:type="dxa"/>
              <w:left w:w="16" w:type="dxa"/>
              <w:right w:w="16" w:type="dxa"/>
            </w:tcMar>
            <w:vAlign w:val="center"/>
          </w:tcPr>
          <w:p w14:paraId="1520033B">
            <w:pPr>
              <w:ind w:firstLine="0" w:firstLineChars="0"/>
              <w:jc w:val="center"/>
              <w:rPr>
                <w:color w:val="auto"/>
                <w:highlight w:val="none"/>
              </w:rPr>
            </w:pPr>
            <w:r>
              <w:rPr>
                <w:color w:val="auto"/>
                <w:highlight w:val="none"/>
              </w:rPr>
              <w:t>环保投资（万元）</w:t>
            </w:r>
          </w:p>
        </w:tc>
        <w:tc>
          <w:tcPr>
            <w:tcW w:w="1714" w:type="pct"/>
            <w:vAlign w:val="center"/>
          </w:tcPr>
          <w:p w14:paraId="3BD5F4FF">
            <w:pPr>
              <w:ind w:firstLine="0" w:firstLineChars="0"/>
              <w:jc w:val="center"/>
              <w:rPr>
                <w:rFonts w:hint="default" w:eastAsia="宋体"/>
                <w:color w:val="auto"/>
                <w:highlight w:val="none"/>
                <w:lang w:val="en-US" w:eastAsia="zh-CN"/>
              </w:rPr>
            </w:pPr>
            <w:r>
              <w:rPr>
                <w:rFonts w:hint="eastAsia"/>
                <w:color w:val="auto"/>
                <w:highlight w:val="none"/>
                <w:lang w:val="en-US" w:eastAsia="zh-CN"/>
              </w:rPr>
              <w:t>93.45</w:t>
            </w:r>
          </w:p>
        </w:tc>
      </w:tr>
      <w:tr w14:paraId="67FB7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4F786DF4">
            <w:pPr>
              <w:spacing w:line="240" w:lineRule="auto"/>
              <w:ind w:firstLine="0" w:firstLineChars="0"/>
              <w:jc w:val="center"/>
              <w:rPr>
                <w:color w:val="auto"/>
                <w:highlight w:val="none"/>
              </w:rPr>
            </w:pPr>
            <w:r>
              <w:rPr>
                <w:color w:val="auto"/>
                <w:highlight w:val="none"/>
              </w:rPr>
              <w:t>环保投资占比（%）</w:t>
            </w:r>
          </w:p>
        </w:tc>
        <w:tc>
          <w:tcPr>
            <w:tcW w:w="1838" w:type="pct"/>
            <w:vAlign w:val="center"/>
          </w:tcPr>
          <w:p w14:paraId="5CE30E06">
            <w:pPr>
              <w:ind w:firstLine="0" w:firstLineChars="0"/>
              <w:jc w:val="center"/>
              <w:rPr>
                <w:rFonts w:hint="default" w:eastAsia="宋体"/>
                <w:color w:val="auto"/>
                <w:highlight w:val="none"/>
                <w:lang w:val="en-US" w:eastAsia="zh-CN"/>
              </w:rPr>
            </w:pPr>
            <w:r>
              <w:rPr>
                <w:rFonts w:hint="eastAsia"/>
                <w:color w:val="auto"/>
                <w:highlight w:val="none"/>
                <w:lang w:val="en-US" w:eastAsia="zh-CN"/>
              </w:rPr>
              <w:t>1.11</w:t>
            </w:r>
          </w:p>
        </w:tc>
        <w:tc>
          <w:tcPr>
            <w:tcW w:w="878" w:type="pct"/>
            <w:tcMar>
              <w:top w:w="16" w:type="dxa"/>
              <w:left w:w="16" w:type="dxa"/>
              <w:right w:w="16" w:type="dxa"/>
            </w:tcMar>
            <w:vAlign w:val="center"/>
          </w:tcPr>
          <w:p w14:paraId="2B25532E">
            <w:pPr>
              <w:ind w:firstLine="0" w:firstLineChars="0"/>
              <w:jc w:val="center"/>
              <w:rPr>
                <w:color w:val="auto"/>
                <w:highlight w:val="none"/>
              </w:rPr>
            </w:pPr>
            <w:r>
              <w:rPr>
                <w:color w:val="auto"/>
                <w:highlight w:val="none"/>
              </w:rPr>
              <w:t>施工工期</w:t>
            </w:r>
          </w:p>
        </w:tc>
        <w:tc>
          <w:tcPr>
            <w:tcW w:w="1714" w:type="pct"/>
            <w:vAlign w:val="center"/>
          </w:tcPr>
          <w:p w14:paraId="27983B7E">
            <w:pPr>
              <w:ind w:firstLine="0" w:firstLineChars="0"/>
              <w:jc w:val="center"/>
              <w:rPr>
                <w:color w:val="auto"/>
                <w:highlight w:val="none"/>
              </w:rPr>
            </w:pPr>
            <w:r>
              <w:rPr>
                <w:rFonts w:hint="eastAsia"/>
                <w:color w:val="auto"/>
                <w:highlight w:val="none"/>
              </w:rPr>
              <w:t>20</w:t>
            </w:r>
            <w:r>
              <w:rPr>
                <w:color w:val="auto"/>
                <w:highlight w:val="none"/>
              </w:rPr>
              <w:t>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5</w:t>
            </w:r>
            <w:r>
              <w:rPr>
                <w:rFonts w:hint="eastAsia"/>
                <w:color w:val="auto"/>
                <w:highlight w:val="none"/>
              </w:rPr>
              <w:t>月至202</w:t>
            </w:r>
            <w:r>
              <w:rPr>
                <w:color w:val="auto"/>
                <w:highlight w:val="none"/>
              </w:rPr>
              <w:t>5</w:t>
            </w:r>
            <w:r>
              <w:rPr>
                <w:rFonts w:hint="eastAsia"/>
                <w:color w:val="auto"/>
                <w:highlight w:val="none"/>
              </w:rPr>
              <w:t>年</w:t>
            </w:r>
            <w:r>
              <w:rPr>
                <w:rFonts w:hint="eastAsia"/>
                <w:color w:val="auto"/>
                <w:highlight w:val="none"/>
                <w:lang w:val="en-US" w:eastAsia="zh-CN"/>
              </w:rPr>
              <w:t>12</w:t>
            </w:r>
            <w:r>
              <w:rPr>
                <w:rFonts w:hint="eastAsia"/>
                <w:color w:val="auto"/>
                <w:highlight w:val="none"/>
              </w:rPr>
              <w:t>月</w:t>
            </w:r>
          </w:p>
        </w:tc>
      </w:tr>
      <w:tr w14:paraId="037DC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4AC219C0">
            <w:pPr>
              <w:ind w:firstLine="0" w:firstLineChars="0"/>
              <w:jc w:val="center"/>
              <w:rPr>
                <w:color w:val="auto"/>
                <w:highlight w:val="none"/>
              </w:rPr>
            </w:pPr>
            <w:r>
              <w:rPr>
                <w:color w:val="auto"/>
                <w:highlight w:val="none"/>
              </w:rPr>
              <w:t>是否开工建设</w:t>
            </w:r>
          </w:p>
        </w:tc>
        <w:tc>
          <w:tcPr>
            <w:tcW w:w="4431" w:type="pct"/>
            <w:gridSpan w:val="3"/>
            <w:vAlign w:val="center"/>
          </w:tcPr>
          <w:p w14:paraId="40F01DBB">
            <w:pPr>
              <w:ind w:firstLine="0" w:firstLineChars="0"/>
              <w:rPr>
                <w:color w:val="auto"/>
                <w:highlight w:val="none"/>
              </w:rPr>
            </w:pPr>
            <w:r>
              <w:rPr>
                <w:rFonts w:hint="eastAsia"/>
                <w:color w:val="auto"/>
                <w:highlight w:val="none"/>
              </w:rPr>
              <w:t>■</w:t>
            </w:r>
            <w:r>
              <w:rPr>
                <w:color w:val="auto"/>
                <w:highlight w:val="none"/>
              </w:rPr>
              <w:t>否</w:t>
            </w:r>
          </w:p>
          <w:p w14:paraId="15C13C07">
            <w:pPr>
              <w:ind w:firstLine="0" w:firstLineChars="0"/>
              <w:rPr>
                <w:color w:val="auto"/>
                <w:highlight w:val="none"/>
              </w:rPr>
            </w:pPr>
            <w:r>
              <w:rPr>
                <w:color w:val="auto"/>
                <w:highlight w:val="none"/>
              </w:rPr>
              <w:sym w:font="Wingdings 2" w:char="00A3"/>
            </w:r>
            <w:r>
              <w:rPr>
                <w:color w:val="auto"/>
                <w:highlight w:val="none"/>
              </w:rPr>
              <w:t>是</w:t>
            </w:r>
            <w:r>
              <w:rPr>
                <w:rFonts w:hint="eastAsia"/>
                <w:color w:val="auto"/>
                <w:highlight w:val="none"/>
              </w:rPr>
              <w:t>：</w:t>
            </w:r>
            <w:r>
              <w:rPr>
                <w:rFonts w:hint="eastAsia"/>
                <w:color w:val="auto"/>
                <w:highlight w:val="none"/>
                <w:u w:val="single"/>
              </w:rPr>
              <w:t xml:space="preserve">                             </w:t>
            </w:r>
          </w:p>
        </w:tc>
      </w:tr>
      <w:tr w14:paraId="38470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4FAF19FC">
            <w:pPr>
              <w:ind w:firstLine="0" w:firstLineChars="0"/>
              <w:jc w:val="center"/>
              <w:rPr>
                <w:color w:val="auto"/>
                <w:highlight w:val="none"/>
              </w:rPr>
            </w:pPr>
            <w:r>
              <w:rPr>
                <w:color w:val="auto"/>
                <w:highlight w:val="none"/>
              </w:rPr>
              <w:t>专项评价设置情况</w:t>
            </w:r>
          </w:p>
        </w:tc>
        <w:tc>
          <w:tcPr>
            <w:tcW w:w="4431" w:type="pct"/>
            <w:gridSpan w:val="3"/>
            <w:tcMar>
              <w:top w:w="16" w:type="dxa"/>
              <w:left w:w="16" w:type="dxa"/>
              <w:right w:w="16" w:type="dxa"/>
            </w:tcMar>
            <w:vAlign w:val="center"/>
          </w:tcPr>
          <w:p w14:paraId="359D832D">
            <w:pPr>
              <w:ind w:firstLine="480"/>
              <w:rPr>
                <w:color w:val="auto"/>
                <w:highlight w:val="none"/>
              </w:rPr>
            </w:pPr>
            <w:r>
              <w:rPr>
                <w:color w:val="auto"/>
                <w:highlight w:val="none"/>
              </w:rPr>
              <w:t>依据《建设项目环境影响报告表编制技术指南》（生态影响类）表1专项评价设置原则表，</w:t>
            </w:r>
            <w:r>
              <w:rPr>
                <w:rFonts w:hint="eastAsia"/>
                <w:color w:val="auto"/>
                <w:highlight w:val="none"/>
              </w:rPr>
              <w:t>本项目专项评价设置情况如下：</w:t>
            </w:r>
          </w:p>
          <w:p w14:paraId="7E9CCC8B">
            <w:pPr>
              <w:ind w:firstLine="480"/>
              <w:rPr>
                <w:color w:val="auto"/>
                <w:highlight w:val="none"/>
              </w:rPr>
            </w:pPr>
            <w:r>
              <w:rPr>
                <w:rFonts w:hint="eastAsia"/>
                <w:color w:val="auto"/>
                <w:highlight w:val="none"/>
              </w:rPr>
              <w:t>1、</w:t>
            </w:r>
            <w:r>
              <w:rPr>
                <w:color w:val="auto"/>
                <w:highlight w:val="none"/>
              </w:rPr>
              <w:t>本项目位于</w:t>
            </w:r>
            <w:r>
              <w:rPr>
                <w:rFonts w:hint="eastAsia"/>
                <w:color w:val="auto"/>
                <w:highlight w:val="none"/>
                <w:lang w:val="en-US" w:eastAsia="zh-CN"/>
              </w:rPr>
              <w:t>绥化市兰西县位于</w:t>
            </w:r>
            <w:r>
              <w:rPr>
                <w:rFonts w:hint="eastAsia"/>
                <w:color w:val="auto"/>
                <w:highlight w:val="none"/>
              </w:rPr>
              <w:t>国家级水土流失重点治理区-东北漫川漫岗水土流失重点治理区</w:t>
            </w:r>
            <w:r>
              <w:rPr>
                <w:color w:val="auto"/>
                <w:highlight w:val="none"/>
              </w:rPr>
              <w:t>，属于</w:t>
            </w:r>
            <w:r>
              <w:rPr>
                <w:rFonts w:hint="eastAsia" w:ascii="宋体" w:hAnsi="宋体" w:cs="宋体"/>
                <w:color w:val="auto"/>
                <w:highlight w:val="none"/>
              </w:rPr>
              <w:t>“</w:t>
            </w:r>
            <w:r>
              <w:rPr>
                <w:color w:val="auto"/>
                <w:highlight w:val="none"/>
              </w:rPr>
              <w:t>涉及环境敏感区（不包括饮用水水源保护区，以居住、医疗卫生、文化教育、科研、行政办公为主要功能的区域，以及文物保护单位）的项目</w:t>
            </w:r>
            <w:r>
              <w:rPr>
                <w:rFonts w:hint="eastAsia" w:ascii="宋体" w:hAnsi="宋体" w:cs="宋体"/>
                <w:color w:val="auto"/>
                <w:highlight w:val="none"/>
              </w:rPr>
              <w:t>”</w:t>
            </w:r>
            <w:r>
              <w:rPr>
                <w:color w:val="auto"/>
                <w:highlight w:val="none"/>
              </w:rPr>
              <w:t>，应设置生态</w:t>
            </w:r>
            <w:r>
              <w:rPr>
                <w:rFonts w:hint="eastAsia"/>
                <w:color w:val="auto"/>
                <w:highlight w:val="none"/>
              </w:rPr>
              <w:t>环境影响</w:t>
            </w:r>
            <w:r>
              <w:rPr>
                <w:color w:val="auto"/>
                <w:highlight w:val="none"/>
              </w:rPr>
              <w:t>专项评价；</w:t>
            </w:r>
          </w:p>
          <w:p w14:paraId="5C389230">
            <w:pPr>
              <w:ind w:firstLine="480"/>
              <w:rPr>
                <w:color w:val="auto"/>
                <w:highlight w:val="none"/>
              </w:rPr>
            </w:pPr>
            <w:r>
              <w:rPr>
                <w:rFonts w:hint="eastAsia"/>
                <w:color w:val="auto"/>
                <w:highlight w:val="none"/>
              </w:rPr>
              <w:t>2、</w:t>
            </w:r>
            <w:r>
              <w:rPr>
                <w:color w:val="auto"/>
                <w:highlight w:val="none"/>
              </w:rPr>
              <w:t>本项目为公路建设项目，属于</w:t>
            </w:r>
            <w:r>
              <w:rPr>
                <w:rFonts w:hint="eastAsia" w:ascii="宋体" w:hAnsi="宋体" w:cs="宋体"/>
                <w:color w:val="auto"/>
                <w:highlight w:val="none"/>
              </w:rPr>
              <w:t>“</w:t>
            </w:r>
            <w:r>
              <w:rPr>
                <w:color w:val="auto"/>
                <w:highlight w:val="none"/>
              </w:rPr>
              <w:t>公路、铁路、机场等交通运输业涉及环境敏感区（以居住、医疗卫生、文化教育、 科研、行政办公为主要功能的区域）的项目</w:t>
            </w:r>
            <w:r>
              <w:rPr>
                <w:rFonts w:hint="eastAsia" w:ascii="宋体" w:hAnsi="宋体" w:cs="宋体"/>
                <w:color w:val="auto"/>
                <w:highlight w:val="none"/>
              </w:rPr>
              <w:t>”</w:t>
            </w:r>
            <w:r>
              <w:rPr>
                <w:color w:val="auto"/>
                <w:highlight w:val="none"/>
              </w:rPr>
              <w:t>，应设置</w:t>
            </w:r>
            <w:r>
              <w:rPr>
                <w:rFonts w:hint="eastAsia"/>
                <w:color w:val="auto"/>
                <w:highlight w:val="none"/>
              </w:rPr>
              <w:t>声环境影响</w:t>
            </w:r>
            <w:r>
              <w:rPr>
                <w:color w:val="auto"/>
                <w:highlight w:val="none"/>
              </w:rPr>
              <w:t>专项评价。</w:t>
            </w:r>
          </w:p>
        </w:tc>
      </w:tr>
      <w:tr w14:paraId="1F321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74AA3C7C">
            <w:pPr>
              <w:ind w:firstLine="0" w:firstLineChars="0"/>
              <w:jc w:val="center"/>
              <w:rPr>
                <w:color w:val="auto"/>
                <w:highlight w:val="none"/>
              </w:rPr>
            </w:pPr>
            <w:r>
              <w:rPr>
                <w:color w:val="auto"/>
                <w:highlight w:val="none"/>
              </w:rPr>
              <w:t>规划情况</w:t>
            </w:r>
          </w:p>
        </w:tc>
        <w:tc>
          <w:tcPr>
            <w:tcW w:w="4431" w:type="pct"/>
            <w:gridSpan w:val="3"/>
            <w:tcMar>
              <w:top w:w="16" w:type="dxa"/>
              <w:left w:w="16" w:type="dxa"/>
              <w:right w:w="16" w:type="dxa"/>
            </w:tcMar>
            <w:vAlign w:val="center"/>
          </w:tcPr>
          <w:p w14:paraId="525024EB">
            <w:pPr>
              <w:autoSpaceDE w:val="0"/>
              <w:autoSpaceDN w:val="0"/>
              <w:ind w:firstLine="0" w:firstLineChars="0"/>
              <w:rPr>
                <w:color w:val="auto"/>
                <w:highlight w:val="none"/>
              </w:rPr>
            </w:pPr>
            <w:r>
              <w:rPr>
                <w:rFonts w:hint="eastAsia"/>
                <w:color w:val="auto"/>
                <w:highlight w:val="none"/>
              </w:rPr>
              <w:t>规划名称：《黑龙江省省道网规划（2023年-2035年）》</w:t>
            </w:r>
          </w:p>
          <w:p w14:paraId="6E6410D5">
            <w:pPr>
              <w:autoSpaceDE w:val="0"/>
              <w:autoSpaceDN w:val="0"/>
              <w:ind w:firstLine="0" w:firstLineChars="0"/>
              <w:rPr>
                <w:color w:val="auto"/>
                <w:highlight w:val="none"/>
              </w:rPr>
            </w:pPr>
            <w:r>
              <w:rPr>
                <w:rFonts w:hint="eastAsia"/>
                <w:color w:val="auto"/>
                <w:highlight w:val="none"/>
              </w:rPr>
              <w:t>审批机关：黑龙江省交通运输厅</w:t>
            </w:r>
          </w:p>
          <w:p w14:paraId="2F8F3E16">
            <w:pPr>
              <w:autoSpaceDE w:val="0"/>
              <w:autoSpaceDN w:val="0"/>
              <w:ind w:firstLine="0" w:firstLineChars="0"/>
              <w:rPr>
                <w:color w:val="auto"/>
                <w:highlight w:val="none"/>
              </w:rPr>
            </w:pPr>
            <w:r>
              <w:rPr>
                <w:rFonts w:hint="eastAsia"/>
                <w:color w:val="auto"/>
                <w:highlight w:val="none"/>
              </w:rPr>
              <w:t>审批文号：黑交发〔20</w:t>
            </w:r>
            <w:r>
              <w:rPr>
                <w:color w:val="auto"/>
                <w:highlight w:val="none"/>
              </w:rPr>
              <w:t>24</w:t>
            </w:r>
            <w:r>
              <w:rPr>
                <w:rFonts w:hint="eastAsia"/>
                <w:color w:val="auto"/>
                <w:highlight w:val="none"/>
              </w:rPr>
              <w:t>〕2</w:t>
            </w:r>
            <w:r>
              <w:rPr>
                <w:color w:val="auto"/>
                <w:highlight w:val="none"/>
              </w:rPr>
              <w:t>0</w:t>
            </w:r>
            <w:r>
              <w:rPr>
                <w:rFonts w:hint="eastAsia"/>
                <w:color w:val="auto"/>
                <w:highlight w:val="none"/>
              </w:rPr>
              <w:t>号</w:t>
            </w:r>
          </w:p>
        </w:tc>
      </w:tr>
      <w:tr w14:paraId="1550E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09727E55">
            <w:pPr>
              <w:ind w:firstLine="0" w:firstLineChars="0"/>
              <w:jc w:val="center"/>
              <w:rPr>
                <w:color w:val="auto"/>
                <w:highlight w:val="none"/>
              </w:rPr>
            </w:pPr>
            <w:r>
              <w:rPr>
                <w:color w:val="auto"/>
                <w:highlight w:val="none"/>
              </w:rPr>
              <w:t>规划环境影响</w:t>
            </w:r>
          </w:p>
          <w:p w14:paraId="715944A1">
            <w:pPr>
              <w:ind w:firstLine="0" w:firstLineChars="0"/>
              <w:jc w:val="center"/>
              <w:rPr>
                <w:color w:val="auto"/>
                <w:highlight w:val="none"/>
              </w:rPr>
            </w:pPr>
            <w:r>
              <w:rPr>
                <w:color w:val="auto"/>
                <w:highlight w:val="none"/>
              </w:rPr>
              <w:t>评价情况</w:t>
            </w:r>
          </w:p>
        </w:tc>
        <w:tc>
          <w:tcPr>
            <w:tcW w:w="4431" w:type="pct"/>
            <w:gridSpan w:val="3"/>
            <w:tcMar>
              <w:top w:w="16" w:type="dxa"/>
              <w:left w:w="16" w:type="dxa"/>
              <w:right w:w="16" w:type="dxa"/>
            </w:tcMar>
            <w:vAlign w:val="center"/>
          </w:tcPr>
          <w:p w14:paraId="69E9A314">
            <w:pPr>
              <w:ind w:firstLine="0" w:firstLineChars="0"/>
              <w:rPr>
                <w:color w:val="auto"/>
                <w:highlight w:val="none"/>
              </w:rPr>
            </w:pPr>
            <w:r>
              <w:rPr>
                <w:rFonts w:hint="eastAsia"/>
                <w:color w:val="auto"/>
                <w:highlight w:val="none"/>
              </w:rPr>
              <w:t>规划环评文件名称：《黑龙江省省道网规划（2023年-2035年）环境影响报告书》</w:t>
            </w:r>
          </w:p>
          <w:p w14:paraId="0080D341">
            <w:pPr>
              <w:ind w:firstLine="0" w:firstLineChars="0"/>
              <w:rPr>
                <w:color w:val="auto"/>
                <w:highlight w:val="none"/>
              </w:rPr>
            </w:pPr>
            <w:r>
              <w:rPr>
                <w:rFonts w:hint="eastAsia"/>
                <w:color w:val="auto"/>
                <w:highlight w:val="none"/>
              </w:rPr>
              <w:t>审查机关：黑龙江省生态环境厅</w:t>
            </w:r>
          </w:p>
          <w:p w14:paraId="1DFE9DEC">
            <w:pPr>
              <w:ind w:firstLine="0" w:firstLineChars="0"/>
              <w:rPr>
                <w:color w:val="auto"/>
                <w:highlight w:val="none"/>
              </w:rPr>
            </w:pPr>
            <w:r>
              <w:rPr>
                <w:rFonts w:hint="eastAsia"/>
                <w:color w:val="auto"/>
                <w:highlight w:val="none"/>
              </w:rPr>
              <w:t>审查文件名称：关于《黑龙江省省道网规划环境影响报告书》的审查意见</w:t>
            </w:r>
          </w:p>
          <w:p w14:paraId="6EEDE1D8">
            <w:pPr>
              <w:ind w:firstLine="0" w:firstLineChars="0"/>
              <w:rPr>
                <w:color w:val="auto"/>
                <w:highlight w:val="none"/>
              </w:rPr>
            </w:pPr>
            <w:r>
              <w:rPr>
                <w:rFonts w:hint="eastAsia"/>
                <w:color w:val="auto"/>
                <w:highlight w:val="none"/>
              </w:rPr>
              <w:t>审查文件文号：黑环函[2023]285号</w:t>
            </w:r>
          </w:p>
        </w:tc>
      </w:tr>
      <w:tr w14:paraId="20617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6ADA4E9F">
            <w:pPr>
              <w:ind w:firstLine="0" w:firstLineChars="0"/>
              <w:jc w:val="center"/>
              <w:rPr>
                <w:color w:val="auto"/>
                <w:highlight w:val="none"/>
              </w:rPr>
            </w:pPr>
            <w:r>
              <w:rPr>
                <w:color w:val="auto"/>
                <w:highlight w:val="none"/>
              </w:rPr>
              <w:t>规划及规划环境影响评价符合性分析</w:t>
            </w:r>
          </w:p>
        </w:tc>
        <w:tc>
          <w:tcPr>
            <w:tcW w:w="4431" w:type="pct"/>
            <w:gridSpan w:val="3"/>
            <w:tcMar>
              <w:top w:w="16" w:type="dxa"/>
              <w:left w:w="16" w:type="dxa"/>
              <w:right w:w="16" w:type="dxa"/>
            </w:tcMar>
            <w:vAlign w:val="center"/>
          </w:tcPr>
          <w:p w14:paraId="5710D218">
            <w:pPr>
              <w:autoSpaceDE w:val="0"/>
              <w:autoSpaceDN w:val="0"/>
              <w:adjustRightInd w:val="0"/>
              <w:snapToGrid w:val="0"/>
              <w:spacing w:line="480" w:lineRule="exact"/>
              <w:ind w:firstLine="482"/>
              <w:rPr>
                <w:b/>
                <w:color w:val="auto"/>
                <w:highlight w:val="none"/>
              </w:rPr>
            </w:pPr>
            <w:r>
              <w:rPr>
                <w:rFonts w:hint="eastAsia"/>
                <w:b/>
                <w:color w:val="auto"/>
                <w:highlight w:val="none"/>
              </w:rPr>
              <w:t>1、《黑龙江省省道网规划（2023年-2035年》</w:t>
            </w:r>
          </w:p>
          <w:p w14:paraId="2304ACAB">
            <w:pPr>
              <w:autoSpaceDE w:val="0"/>
              <w:autoSpaceDN w:val="0"/>
              <w:adjustRightInd w:val="0"/>
              <w:snapToGrid w:val="0"/>
              <w:spacing w:line="480" w:lineRule="exact"/>
              <w:ind w:firstLine="480"/>
              <w:rPr>
                <w:color w:val="auto"/>
                <w:highlight w:val="none"/>
              </w:rPr>
            </w:pPr>
            <w:r>
              <w:rPr>
                <w:rFonts w:hint="eastAsia"/>
                <w:color w:val="auto"/>
                <w:highlight w:val="none"/>
              </w:rPr>
              <w:t>根据《黑龙江省省道网规划（2023年-2035年》，我省省道网规划路线98条，总规模约12105km，其中省级高速公路18条约2913km，普通省道80条约9192km。</w:t>
            </w:r>
          </w:p>
          <w:p w14:paraId="495ABCFE">
            <w:pPr>
              <w:autoSpaceDE w:val="0"/>
              <w:autoSpaceDN w:val="0"/>
              <w:adjustRightInd w:val="0"/>
              <w:snapToGrid w:val="0"/>
              <w:spacing w:line="480" w:lineRule="exact"/>
              <w:ind w:firstLine="480"/>
              <w:rPr>
                <w:color w:val="auto"/>
                <w:highlight w:val="none"/>
              </w:rPr>
            </w:pPr>
            <w:r>
              <w:rPr>
                <w:rFonts w:hint="eastAsia"/>
                <w:color w:val="auto"/>
                <w:highlight w:val="none"/>
              </w:rPr>
              <w:t>——普通省道</w:t>
            </w:r>
            <w:r>
              <w:rPr>
                <w:rFonts w:hint="eastAsia"/>
                <w:color w:val="auto"/>
                <w:highlight w:val="none"/>
                <w:lang w:val="en-US" w:eastAsia="zh-CN"/>
              </w:rPr>
              <w:t>东西横线12</w:t>
            </w:r>
            <w:r>
              <w:rPr>
                <w:rFonts w:hint="eastAsia"/>
                <w:color w:val="auto"/>
                <w:highlight w:val="none"/>
              </w:rPr>
              <w:t>条：S301十八站-呼中、S302克林-沾河、S303二龙山农场-讷河、S305北安-富裕、S306海青-同江、S308小佳河-亮子河、S309建兴-新林、S310共和-景星、S311绥化-泰来、S312凤山-兴隆、S314密山(知一镇)-鸡西、S316 海林-沙兰镇。</w:t>
            </w:r>
          </w:p>
          <w:p w14:paraId="7E3B42B9">
            <w:pPr>
              <w:autoSpaceDE w:val="0"/>
              <w:autoSpaceDN w:val="0"/>
              <w:adjustRightInd w:val="0"/>
              <w:snapToGrid w:val="0"/>
              <w:spacing w:line="480" w:lineRule="exact"/>
              <w:ind w:firstLine="482"/>
              <w:rPr>
                <w:rFonts w:hint="eastAsia"/>
                <w:color w:val="auto"/>
                <w:highlight w:val="none"/>
              </w:rPr>
            </w:pPr>
            <w:r>
              <w:rPr>
                <w:rFonts w:hint="eastAsia"/>
                <w:color w:val="auto"/>
                <w:highlight w:val="none"/>
              </w:rPr>
              <w:t>本项目属于黑龙江省省道网规划中普通省道</w:t>
            </w:r>
            <w:r>
              <w:rPr>
                <w:rFonts w:hint="eastAsia"/>
                <w:color w:val="auto"/>
                <w:highlight w:val="none"/>
                <w:lang w:val="en-US" w:eastAsia="zh-CN"/>
              </w:rPr>
              <w:t>东西横线</w:t>
            </w:r>
            <w:r>
              <w:rPr>
                <w:rFonts w:hint="eastAsia"/>
                <w:color w:val="auto"/>
                <w:highlight w:val="none"/>
              </w:rPr>
              <w:t>中的</w:t>
            </w:r>
            <w:r>
              <w:rPr>
                <w:color w:val="auto"/>
                <w:highlight w:val="none"/>
              </w:rPr>
              <w:t>S</w:t>
            </w:r>
            <w:r>
              <w:rPr>
                <w:rFonts w:hint="eastAsia"/>
                <w:color w:val="auto"/>
                <w:highlight w:val="none"/>
                <w:lang w:val="en-US" w:eastAsia="zh-CN"/>
              </w:rPr>
              <w:t>311</w:t>
            </w:r>
            <w:r>
              <w:rPr>
                <w:rFonts w:hint="eastAsia"/>
                <w:color w:val="auto"/>
                <w:highlight w:val="none"/>
              </w:rPr>
              <w:t>“绥化—</w:t>
            </w:r>
            <w:r>
              <w:rPr>
                <w:rFonts w:hint="eastAsia"/>
                <w:color w:val="auto"/>
                <w:highlight w:val="none"/>
                <w:lang w:val="en-US" w:eastAsia="zh-CN"/>
              </w:rPr>
              <w:t>泰来</w:t>
            </w:r>
            <w:r>
              <w:rPr>
                <w:rFonts w:hint="eastAsia"/>
                <w:color w:val="auto"/>
                <w:highlight w:val="none"/>
              </w:rPr>
              <w:t>”线中的</w:t>
            </w:r>
            <w:r>
              <w:rPr>
                <w:rFonts w:hint="eastAsia"/>
                <w:color w:val="auto"/>
                <w:highlight w:val="none"/>
                <w:lang w:val="en-US" w:eastAsia="zh-CN"/>
              </w:rPr>
              <w:t>兰西</w:t>
            </w:r>
            <w:r>
              <w:rPr>
                <w:rFonts w:hint="eastAsia"/>
                <w:color w:val="auto"/>
                <w:highlight w:val="none"/>
              </w:rPr>
              <w:t>段</w:t>
            </w:r>
            <w:r>
              <w:rPr>
                <w:rFonts w:hint="eastAsia"/>
                <w:color w:val="auto"/>
                <w:highlight w:val="none"/>
                <w:lang w:val="en-US" w:eastAsia="zh-CN"/>
              </w:rPr>
              <w:t>相连三级公路</w:t>
            </w:r>
            <w:r>
              <w:rPr>
                <w:rFonts w:hint="eastAsia"/>
                <w:color w:val="auto"/>
                <w:highlight w:val="none"/>
              </w:rPr>
              <w:t>， 故符合《黑龙江省省道网规划（2023年-2035年》。</w:t>
            </w:r>
          </w:p>
          <w:p w14:paraId="4A417E5A">
            <w:pPr>
              <w:autoSpaceDE w:val="0"/>
              <w:autoSpaceDN w:val="0"/>
              <w:adjustRightInd w:val="0"/>
              <w:snapToGrid w:val="0"/>
              <w:spacing w:line="480" w:lineRule="exact"/>
              <w:ind w:firstLine="482"/>
              <w:rPr>
                <w:b/>
                <w:color w:val="auto"/>
                <w:highlight w:val="none"/>
              </w:rPr>
            </w:pPr>
            <w:r>
              <w:rPr>
                <w:rFonts w:hint="eastAsia"/>
                <w:b/>
                <w:color w:val="auto"/>
                <w:highlight w:val="none"/>
              </w:rPr>
              <w:t>2、《黑龙江省省道网规划（2</w:t>
            </w:r>
            <w:r>
              <w:rPr>
                <w:b/>
                <w:color w:val="auto"/>
                <w:highlight w:val="none"/>
              </w:rPr>
              <w:t>023</w:t>
            </w:r>
            <w:r>
              <w:rPr>
                <w:rFonts w:hint="eastAsia"/>
                <w:b/>
                <w:color w:val="auto"/>
                <w:highlight w:val="none"/>
              </w:rPr>
              <w:t>年-</w:t>
            </w:r>
            <w:r>
              <w:rPr>
                <w:b/>
                <w:color w:val="auto"/>
                <w:highlight w:val="none"/>
              </w:rPr>
              <w:t>2035</w:t>
            </w:r>
            <w:r>
              <w:rPr>
                <w:rFonts w:hint="eastAsia"/>
                <w:b/>
                <w:color w:val="auto"/>
                <w:highlight w:val="none"/>
              </w:rPr>
              <w:t>年）环境影响报告书》</w:t>
            </w:r>
          </w:p>
          <w:p w14:paraId="357310B8">
            <w:pPr>
              <w:autoSpaceDE w:val="0"/>
              <w:autoSpaceDN w:val="0"/>
              <w:adjustRightInd w:val="0"/>
              <w:snapToGrid w:val="0"/>
              <w:spacing w:line="480" w:lineRule="exact"/>
              <w:ind w:firstLine="480"/>
              <w:rPr>
                <w:color w:val="auto"/>
                <w:highlight w:val="none"/>
              </w:rPr>
            </w:pPr>
            <w:r>
              <w:rPr>
                <w:rFonts w:hint="eastAsia"/>
                <w:color w:val="auto"/>
                <w:highlight w:val="none"/>
              </w:rPr>
              <w:t>根据《黑龙江省省道网规划环境影响报告书》的相关结论，“严禁路线穿越、服务设施占用饮用水水源一级保护区。项目实施过程中做好相关专题论证、依法依规向有关主管部门履行穿越的行政许可手续，并强化环境风险防范措施”。</w:t>
            </w:r>
          </w:p>
          <w:p w14:paraId="00E59DBE">
            <w:pPr>
              <w:autoSpaceDE w:val="0"/>
              <w:autoSpaceDN w:val="0"/>
              <w:adjustRightInd w:val="0"/>
              <w:snapToGrid w:val="0"/>
              <w:spacing w:line="480" w:lineRule="exact"/>
              <w:ind w:firstLine="480"/>
              <w:rPr>
                <w:color w:val="auto"/>
                <w:highlight w:val="none"/>
              </w:rPr>
            </w:pPr>
            <w:r>
              <w:rPr>
                <w:rFonts w:hint="eastAsia"/>
                <w:color w:val="auto"/>
                <w:highlight w:val="none"/>
              </w:rPr>
              <w:t>本项目属于改扩建工程，</w:t>
            </w:r>
            <w:r>
              <w:rPr>
                <w:rFonts w:hint="default" w:ascii="Times New Roman" w:hAnsi="Times New Roman" w:eastAsia="宋体" w:cs="Times New Roman"/>
                <w:color w:val="auto"/>
                <w:sz w:val="24"/>
                <w:szCs w:val="24"/>
                <w:highlight w:val="none"/>
                <w:lang w:val="en-US" w:eastAsia="zh-CN"/>
              </w:rPr>
              <w:t>全部利用旧路改扩建</w:t>
            </w:r>
            <w:r>
              <w:rPr>
                <w:rFonts w:hint="eastAsia"/>
                <w:color w:val="auto"/>
                <w:highlight w:val="none"/>
              </w:rPr>
              <w:t>，不涉及饮用水水源一级保护区，因此本项目符合《黑龙江省省道网规划环境影响报告书》要求。</w:t>
            </w:r>
          </w:p>
          <w:p w14:paraId="0B65344B">
            <w:pPr>
              <w:autoSpaceDE w:val="0"/>
              <w:autoSpaceDN w:val="0"/>
              <w:adjustRightInd w:val="0"/>
              <w:snapToGrid w:val="0"/>
              <w:spacing w:line="480" w:lineRule="exact"/>
              <w:ind w:firstLine="482"/>
              <w:rPr>
                <w:b/>
                <w:color w:val="auto"/>
                <w:highlight w:val="none"/>
              </w:rPr>
            </w:pPr>
            <w:r>
              <w:rPr>
                <w:rFonts w:hint="eastAsia"/>
                <w:b/>
                <w:color w:val="auto"/>
                <w:highlight w:val="none"/>
              </w:rPr>
              <w:t>3、《黑龙江省省道网规划环境影响报告书审查意见》</w:t>
            </w:r>
          </w:p>
          <w:p w14:paraId="0F7F46C1">
            <w:pPr>
              <w:adjustRightInd w:val="0"/>
              <w:snapToGrid w:val="0"/>
              <w:spacing w:line="480" w:lineRule="exact"/>
              <w:ind w:firstLine="480"/>
              <w:rPr>
                <w:color w:val="auto"/>
                <w:highlight w:val="none"/>
              </w:rPr>
            </w:pPr>
            <w:r>
              <w:rPr>
                <w:rFonts w:hint="eastAsia"/>
                <w:color w:val="auto"/>
                <w:highlight w:val="none"/>
              </w:rPr>
              <w:t>本项目与《关于&lt;黑龙江省省道网规划（2</w:t>
            </w:r>
            <w:r>
              <w:rPr>
                <w:color w:val="auto"/>
                <w:highlight w:val="none"/>
              </w:rPr>
              <w:t>023</w:t>
            </w:r>
            <w:r>
              <w:rPr>
                <w:rFonts w:hint="eastAsia"/>
                <w:color w:val="auto"/>
                <w:highlight w:val="none"/>
              </w:rPr>
              <w:t>年-</w:t>
            </w:r>
            <w:r>
              <w:rPr>
                <w:color w:val="auto"/>
                <w:highlight w:val="none"/>
              </w:rPr>
              <w:t>2035</w:t>
            </w:r>
            <w:r>
              <w:rPr>
                <w:rFonts w:hint="eastAsia"/>
                <w:color w:val="auto"/>
                <w:highlight w:val="none"/>
              </w:rPr>
              <w:t>）环境影响报告书</w:t>
            </w:r>
            <w:r>
              <w:rPr>
                <w:color w:val="auto"/>
                <w:highlight w:val="none"/>
              </w:rPr>
              <w:t>&gt;</w:t>
            </w:r>
            <w:r>
              <w:rPr>
                <w:rFonts w:hint="eastAsia"/>
                <w:color w:val="auto"/>
                <w:highlight w:val="none"/>
              </w:rPr>
              <w:t>的审查意见》（黑环函[20</w:t>
            </w:r>
            <w:r>
              <w:rPr>
                <w:color w:val="auto"/>
                <w:highlight w:val="none"/>
              </w:rPr>
              <w:t>23</w:t>
            </w:r>
            <w:r>
              <w:rPr>
                <w:rFonts w:hint="eastAsia"/>
                <w:color w:val="auto"/>
                <w:highlight w:val="none"/>
              </w:rPr>
              <w:t>]</w:t>
            </w:r>
            <w:r>
              <w:rPr>
                <w:color w:val="auto"/>
                <w:highlight w:val="none"/>
              </w:rPr>
              <w:t>285</w:t>
            </w:r>
            <w:r>
              <w:rPr>
                <w:rFonts w:hint="eastAsia"/>
                <w:color w:val="auto"/>
                <w:highlight w:val="none"/>
              </w:rPr>
              <w:t>号）相关要求符合性及落实情况分析如下：</w:t>
            </w:r>
          </w:p>
          <w:p w14:paraId="74EDF97F">
            <w:pPr>
              <w:adjustRightInd w:val="0"/>
              <w:snapToGrid w:val="0"/>
              <w:spacing w:line="480" w:lineRule="exact"/>
              <w:ind w:firstLine="480"/>
              <w:rPr>
                <w:color w:val="auto"/>
                <w:highlight w:val="none"/>
              </w:rPr>
            </w:pPr>
            <w:r>
              <w:rPr>
                <w:rFonts w:hint="eastAsia"/>
                <w:color w:val="auto"/>
                <w:highlight w:val="none"/>
              </w:rPr>
              <w:t>（1）进一步优化调整规划线路。新建线路应尽量避让或远离环境敏感区，严禁穿越自然保护区核心区和缓冲区、风景名胜区的核心景区、饮用水水源一级保护区等依法划定的需要特殊保护的环境敏感区。</w:t>
            </w:r>
          </w:p>
          <w:p w14:paraId="31CFB663">
            <w:pPr>
              <w:adjustRightInd w:val="0"/>
              <w:snapToGrid w:val="0"/>
              <w:spacing w:line="480" w:lineRule="exact"/>
              <w:ind w:firstLine="480"/>
              <w:rPr>
                <w:rFonts w:hint="eastAsia" w:eastAsia="宋体"/>
                <w:color w:val="auto"/>
                <w:highlight w:val="none"/>
                <w:lang w:eastAsia="zh-CN"/>
              </w:rPr>
            </w:pPr>
            <w:r>
              <w:rPr>
                <w:rFonts w:hint="eastAsia"/>
                <w:color w:val="auto"/>
                <w:highlight w:val="none"/>
              </w:rPr>
              <w:t>本项目属于改扩建工程，</w:t>
            </w:r>
            <w:r>
              <w:rPr>
                <w:rFonts w:hint="eastAsia"/>
                <w:color w:val="auto"/>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全部利用旧路改扩建</w:t>
            </w:r>
            <w:r>
              <w:rPr>
                <w:rFonts w:hint="eastAsia"/>
                <w:color w:val="auto"/>
                <w:highlight w:val="none"/>
              </w:rPr>
              <w:t>，线路不占用生态保护红线；不涉及需要特殊保护的环境敏感区，因此本项目落实了《黑龙江省省道网规划环境影响报告书审查意见》中相关要求</w:t>
            </w:r>
            <w:r>
              <w:rPr>
                <w:rFonts w:hint="eastAsia"/>
                <w:color w:val="auto"/>
                <w:highlight w:val="none"/>
                <w:lang w:eastAsia="zh-CN"/>
              </w:rPr>
              <w:t>。</w:t>
            </w:r>
          </w:p>
        </w:tc>
      </w:tr>
      <w:tr w14:paraId="58065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68" w:type="pct"/>
            <w:tcMar>
              <w:top w:w="16" w:type="dxa"/>
              <w:left w:w="16" w:type="dxa"/>
              <w:right w:w="16" w:type="dxa"/>
            </w:tcMar>
            <w:vAlign w:val="center"/>
          </w:tcPr>
          <w:p w14:paraId="44FA9BC3">
            <w:pPr>
              <w:ind w:firstLine="0" w:firstLineChars="0"/>
              <w:jc w:val="center"/>
              <w:rPr>
                <w:color w:val="auto"/>
                <w:highlight w:val="none"/>
              </w:rPr>
            </w:pPr>
            <w:bookmarkStart w:id="5" w:name="_Hlk56690880"/>
            <w:r>
              <w:rPr>
                <w:color w:val="auto"/>
                <w:highlight w:val="none"/>
              </w:rPr>
              <w:t>其他符合性分析</w:t>
            </w:r>
            <w:bookmarkEnd w:id="5"/>
          </w:p>
        </w:tc>
        <w:tc>
          <w:tcPr>
            <w:tcW w:w="4431" w:type="pct"/>
            <w:gridSpan w:val="3"/>
            <w:tcMar>
              <w:top w:w="16" w:type="dxa"/>
              <w:left w:w="16" w:type="dxa"/>
              <w:right w:w="16" w:type="dxa"/>
            </w:tcMar>
            <w:vAlign w:val="center"/>
          </w:tcPr>
          <w:p w14:paraId="02124E4B">
            <w:pPr>
              <w:autoSpaceDE w:val="0"/>
              <w:autoSpaceDN w:val="0"/>
              <w:adjustRightInd w:val="0"/>
              <w:snapToGrid w:val="0"/>
              <w:spacing w:line="480" w:lineRule="exact"/>
              <w:ind w:firstLine="482"/>
              <w:rPr>
                <w:b/>
                <w:color w:val="auto"/>
                <w:highlight w:val="none"/>
              </w:rPr>
            </w:pPr>
            <w:r>
              <w:rPr>
                <w:rFonts w:hint="eastAsia"/>
                <w:b/>
                <w:color w:val="auto"/>
                <w:highlight w:val="none"/>
              </w:rPr>
              <w:t>1、产业政策符合性</w:t>
            </w:r>
          </w:p>
          <w:p w14:paraId="3C711613">
            <w:pPr>
              <w:autoSpaceDE w:val="0"/>
              <w:autoSpaceDN w:val="0"/>
              <w:adjustRightInd w:val="0"/>
              <w:snapToGrid w:val="0"/>
              <w:spacing w:line="480" w:lineRule="exact"/>
              <w:ind w:firstLine="480"/>
              <w:rPr>
                <w:color w:val="auto"/>
                <w:highlight w:val="none"/>
              </w:rPr>
            </w:pPr>
            <w:r>
              <w:rPr>
                <w:rFonts w:hint="eastAsia"/>
                <w:color w:val="auto"/>
                <w:highlight w:val="none"/>
              </w:rPr>
              <w:t>根据《产业结构调整指导目录（</w:t>
            </w:r>
            <w:r>
              <w:rPr>
                <w:color w:val="auto"/>
                <w:highlight w:val="none"/>
              </w:rPr>
              <w:t>2024</w:t>
            </w:r>
            <w:r>
              <w:rPr>
                <w:rFonts w:hint="eastAsia"/>
                <w:color w:val="auto"/>
                <w:highlight w:val="none"/>
              </w:rPr>
              <w:t>年本）》，本项目属于“第一类 鼓励类”“二十四、公路及道路运输”、“</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公路智能运输系统开发</w:t>
            </w:r>
            <w:r>
              <w:rPr>
                <w:rFonts w:hint="eastAsia"/>
                <w:color w:val="auto"/>
                <w:highlight w:val="none"/>
              </w:rPr>
              <w:t>”中的“</w:t>
            </w:r>
            <w:r>
              <w:rPr>
                <w:rFonts w:hint="eastAsia"/>
                <w:color w:val="auto"/>
                <w:highlight w:val="none"/>
                <w:lang w:val="en-US" w:eastAsia="zh-CN"/>
              </w:rPr>
              <w:t>农村公路和客货运输网络开发与建设</w:t>
            </w:r>
            <w:r>
              <w:rPr>
                <w:rFonts w:hint="eastAsia"/>
                <w:color w:val="auto"/>
                <w:highlight w:val="none"/>
              </w:rPr>
              <w:t>”，本项目为鼓励类项目，符合国家产业政策。</w:t>
            </w:r>
          </w:p>
          <w:p w14:paraId="5DF3E7A5">
            <w:pPr>
              <w:autoSpaceDE w:val="0"/>
              <w:autoSpaceDN w:val="0"/>
              <w:adjustRightInd w:val="0"/>
              <w:snapToGrid w:val="0"/>
              <w:spacing w:line="480" w:lineRule="exact"/>
              <w:ind w:firstLine="482"/>
              <w:rPr>
                <w:b/>
                <w:color w:val="auto"/>
                <w:highlight w:val="none"/>
              </w:rPr>
            </w:pPr>
            <w:r>
              <w:rPr>
                <w:rFonts w:hint="eastAsia"/>
                <w:b/>
                <w:color w:val="auto"/>
                <w:highlight w:val="none"/>
              </w:rPr>
              <w:t>2、《关于加强生态保护红线管理的通知（试行》符合性</w:t>
            </w:r>
          </w:p>
          <w:p w14:paraId="1FCE3C03">
            <w:pPr>
              <w:autoSpaceDE w:val="0"/>
              <w:autoSpaceDN w:val="0"/>
              <w:adjustRightInd w:val="0"/>
              <w:snapToGrid w:val="0"/>
              <w:spacing w:line="480" w:lineRule="exact"/>
              <w:ind w:firstLine="480"/>
              <w:rPr>
                <w:color w:val="auto"/>
                <w:highlight w:val="none"/>
              </w:rPr>
            </w:pPr>
            <w:r>
              <w:rPr>
                <w:rFonts w:hint="eastAsia"/>
                <w:color w:val="auto"/>
                <w:highlight w:val="none"/>
              </w:rPr>
              <w:t>根据《关于加强生态保护红线管理的通知（试行）》（自然资发〔2022〕142号）“一、加强人为活动管控”中“（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其中“6.必须且无法避让、符合县级以上国土空间规划的线性基础设施、通讯和防洪、供水设施建设和船舶航行、航道疏浚清淤等活动；已有的合法水利、交通运输等设施运行维护改造”。</w:t>
            </w:r>
          </w:p>
          <w:p w14:paraId="2F0635EA">
            <w:pPr>
              <w:autoSpaceDE w:val="0"/>
              <w:autoSpaceDN w:val="0"/>
              <w:adjustRightInd w:val="0"/>
              <w:snapToGrid w:val="0"/>
              <w:spacing w:line="480" w:lineRule="exact"/>
              <w:ind w:firstLine="480"/>
              <w:rPr>
                <w:color w:val="auto"/>
                <w:highlight w:val="none"/>
              </w:rPr>
            </w:pPr>
            <w:r>
              <w:rPr>
                <w:rFonts w:hint="eastAsia"/>
                <w:color w:val="auto"/>
                <w:highlight w:val="none"/>
              </w:rPr>
              <w:t>本项目属于</w:t>
            </w:r>
            <w:r>
              <w:rPr>
                <w:rFonts w:hint="eastAsia"/>
                <w:color w:val="auto"/>
                <w:highlight w:val="none"/>
                <w:lang w:val="en-US" w:eastAsia="zh-CN"/>
              </w:rPr>
              <w:t>未新增占地，且</w:t>
            </w:r>
            <w:r>
              <w:rPr>
                <w:rFonts w:hint="eastAsia"/>
                <w:color w:val="auto"/>
                <w:highlight w:val="none"/>
              </w:rPr>
              <w:t>不占用生态保护红线，因此本项目建设符合《关于在国土空间规划中统筹划定落实三条控制线的指导意见》要求。</w:t>
            </w:r>
          </w:p>
          <w:p w14:paraId="4E80C7D0">
            <w:pPr>
              <w:autoSpaceDE w:val="0"/>
              <w:autoSpaceDN w:val="0"/>
              <w:adjustRightInd w:val="0"/>
              <w:snapToGrid w:val="0"/>
              <w:spacing w:line="480" w:lineRule="exact"/>
              <w:ind w:firstLine="482"/>
              <w:rPr>
                <w:b/>
                <w:color w:val="auto"/>
                <w:highlight w:val="none"/>
              </w:rPr>
            </w:pPr>
            <w:r>
              <w:rPr>
                <w:b/>
                <w:color w:val="auto"/>
                <w:highlight w:val="none"/>
              </w:rPr>
              <w:t>3</w:t>
            </w:r>
            <w:r>
              <w:rPr>
                <w:rFonts w:hint="eastAsia"/>
                <w:b/>
                <w:color w:val="auto"/>
                <w:highlight w:val="none"/>
              </w:rPr>
              <w:t>、《自然资源部关于规范临时用地管理的通知》符合性</w:t>
            </w:r>
          </w:p>
          <w:p w14:paraId="23E7696D">
            <w:pPr>
              <w:autoSpaceDE w:val="0"/>
              <w:autoSpaceDN w:val="0"/>
              <w:adjustRightInd w:val="0"/>
              <w:snapToGrid w:val="0"/>
              <w:spacing w:line="480" w:lineRule="exact"/>
              <w:ind w:firstLine="480"/>
              <w:rPr>
                <w:color w:val="auto"/>
                <w:highlight w:val="none"/>
              </w:rPr>
            </w:pPr>
            <w:r>
              <w:rPr>
                <w:rFonts w:hint="eastAsia"/>
                <w:color w:val="auto"/>
                <w:highlight w:val="none"/>
              </w:rPr>
              <w:t>根据《自然资源部关于规范临时用地管理的通知》（自然资规〔2021〕2号）中“二、临时用地选址要求和使用期限”，建设项目施工、地质勘查使用临时用地时应坚持“用多少、批多少、占多少、恢复多少”，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p w14:paraId="4549F26F">
            <w:pPr>
              <w:autoSpaceDE w:val="0"/>
              <w:autoSpaceDN w:val="0"/>
              <w:adjustRightInd w:val="0"/>
              <w:snapToGrid w:val="0"/>
              <w:spacing w:line="480" w:lineRule="exact"/>
              <w:ind w:firstLine="480"/>
              <w:rPr>
                <w:color w:val="auto"/>
                <w:highlight w:val="none"/>
              </w:rPr>
            </w:pPr>
            <w:r>
              <w:rPr>
                <w:rFonts w:hint="eastAsia"/>
                <w:color w:val="auto"/>
                <w:highlight w:val="none"/>
              </w:rPr>
              <w:t>本项目</w:t>
            </w:r>
            <w:r>
              <w:rPr>
                <w:rFonts w:hint="eastAsia"/>
                <w:color w:val="auto"/>
                <w:highlight w:val="none"/>
                <w:lang w:val="en-US" w:eastAsia="zh-CN"/>
              </w:rPr>
              <w:t>未新增临时占地</w:t>
            </w:r>
            <w:r>
              <w:rPr>
                <w:rFonts w:hint="eastAsia"/>
                <w:color w:val="auto"/>
                <w:highlight w:val="none"/>
              </w:rPr>
              <w:t>，符合《自然资源部关于规范临时用地管理的通知》（自然资规[2021]2号）管理要求。</w:t>
            </w:r>
          </w:p>
          <w:p w14:paraId="5EABA8A2">
            <w:pPr>
              <w:autoSpaceDE w:val="0"/>
              <w:autoSpaceDN w:val="0"/>
              <w:adjustRightInd w:val="0"/>
              <w:snapToGrid w:val="0"/>
              <w:spacing w:line="480" w:lineRule="exact"/>
              <w:ind w:firstLine="482"/>
              <w:rPr>
                <w:b/>
                <w:color w:val="auto"/>
                <w:highlight w:val="none"/>
              </w:rPr>
            </w:pPr>
            <w:r>
              <w:rPr>
                <w:b/>
                <w:color w:val="auto"/>
                <w:highlight w:val="none"/>
              </w:rPr>
              <w:t>4</w:t>
            </w:r>
            <w:r>
              <w:rPr>
                <w:rFonts w:hint="eastAsia"/>
                <w:b/>
                <w:color w:val="auto"/>
                <w:highlight w:val="none"/>
              </w:rPr>
              <w:t>、《关于进一步做好用地用海要素保障的通知》符合性</w:t>
            </w:r>
          </w:p>
          <w:p w14:paraId="6BA4E83D">
            <w:pPr>
              <w:autoSpaceDE w:val="0"/>
              <w:autoSpaceDN w:val="0"/>
              <w:adjustRightInd w:val="0"/>
              <w:snapToGrid w:val="0"/>
              <w:spacing w:line="480" w:lineRule="exact"/>
              <w:ind w:firstLine="480"/>
              <w:rPr>
                <w:color w:val="auto"/>
                <w:highlight w:val="none"/>
              </w:rPr>
            </w:pPr>
            <w:r>
              <w:rPr>
                <w:rFonts w:hint="eastAsia"/>
                <w:color w:val="auto"/>
                <w:highlight w:val="none"/>
              </w:rPr>
              <w:t>根据《关于进一步做好用地用海要素保障的通知》（自然资发〔2023〕89号）中“二、优化建设项目用地审查报批要求”、“8.优化临时用地政策。直接服务于铁路、公路、水利工程施工的制梁场、拌合站，需临时使用土地的，其土地复垦方案通过论证，业主单位签订承诺书，明确了复垦完成时限和恢复责任，确保能够恢复种植条件的，可以占用耕地，不得占用永久基本农田。</w:t>
            </w:r>
          </w:p>
          <w:p w14:paraId="34AAAA56">
            <w:pPr>
              <w:autoSpaceDE w:val="0"/>
              <w:autoSpaceDN w:val="0"/>
              <w:adjustRightInd w:val="0"/>
              <w:snapToGrid w:val="0"/>
              <w:spacing w:line="480" w:lineRule="exact"/>
              <w:ind w:firstLine="480"/>
              <w:rPr>
                <w:color w:val="auto"/>
                <w:highlight w:val="none"/>
              </w:rPr>
            </w:pPr>
            <w:r>
              <w:rPr>
                <w:rFonts w:hint="eastAsia"/>
                <w:color w:val="auto"/>
                <w:highlight w:val="none"/>
              </w:rPr>
              <w:t>本项目</w:t>
            </w:r>
            <w:r>
              <w:rPr>
                <w:rFonts w:hint="eastAsia"/>
                <w:color w:val="auto"/>
                <w:highlight w:val="none"/>
                <w:lang w:val="en-US" w:eastAsia="zh-CN"/>
              </w:rPr>
              <w:t>未新增临时占地</w:t>
            </w:r>
            <w:r>
              <w:rPr>
                <w:rFonts w:hint="eastAsia"/>
                <w:color w:val="auto"/>
                <w:highlight w:val="none"/>
              </w:rPr>
              <w:t>，符合《关于进一步做好用地用海要素保障的通知》（自然资发〔2023〕89号）管理要求。</w:t>
            </w:r>
          </w:p>
          <w:p w14:paraId="0FB6FA0F">
            <w:pPr>
              <w:autoSpaceDE w:val="0"/>
              <w:autoSpaceDN w:val="0"/>
              <w:adjustRightInd w:val="0"/>
              <w:snapToGrid w:val="0"/>
              <w:spacing w:line="480" w:lineRule="exact"/>
              <w:ind w:firstLine="482"/>
              <w:rPr>
                <w:b/>
                <w:color w:val="auto"/>
                <w:highlight w:val="none"/>
              </w:rPr>
            </w:pPr>
            <w:r>
              <w:rPr>
                <w:rFonts w:hint="eastAsia"/>
                <w:b/>
                <w:color w:val="auto"/>
                <w:highlight w:val="none"/>
              </w:rPr>
              <w:t>5、《黑龙江省人民政府办公厅关于建设占用耕地耕作层土壤剥离利用工作的指导意见（试行）》符合性</w:t>
            </w:r>
          </w:p>
          <w:p w14:paraId="41210056">
            <w:pPr>
              <w:autoSpaceDE w:val="0"/>
              <w:autoSpaceDN w:val="0"/>
              <w:adjustRightInd w:val="0"/>
              <w:snapToGrid w:val="0"/>
              <w:spacing w:line="480" w:lineRule="exact"/>
              <w:ind w:firstLine="480"/>
              <w:rPr>
                <w:color w:val="auto"/>
                <w:highlight w:val="none"/>
              </w:rPr>
            </w:pPr>
            <w:r>
              <w:rPr>
                <w:rFonts w:hint="eastAsia"/>
                <w:color w:val="auto"/>
                <w:highlight w:val="none"/>
              </w:rPr>
              <w:t>指导意见中指出：“剥离存储。成片开发和城镇批次用地占用耕地的，应在供地前实施耕作层土壤剥离；单独选址项目及其他需要剥离的项目，应在开工建设前按照剥离利用方案要求实施耕作层土壤剥离，并将剥离土壤存储在指定地点或直接输送到再利用场所。耕作层土壤剥离及运输过程中，应采取水土保持和扬尘防治措施，防止土壤和环境污染。土壤存储点的选取应遵循就近存储、易于存放、专人管理的原则，尽量利用废弃土地、闲置建设用地和未利用地，避让永久基本农田和生态保护红线、水源地等敏感区域。土壤存储要采取必要的工程防护和保育措施，防止出现水土流失、土壤质量退化和安全隐患。……剥离土壤利用。剥离的土壤优先用于土地整治、高标准农田建设、工矿废弃地复垦、生态修复等项目，以及新开垦耕地、劣质地或者其他耕地的土壤改良等农业生产生活，富余土壤可以用于绿化。……”</w:t>
            </w:r>
          </w:p>
          <w:p w14:paraId="4F659FB6">
            <w:pPr>
              <w:autoSpaceDE w:val="0"/>
              <w:autoSpaceDN w:val="0"/>
              <w:adjustRightInd w:val="0"/>
              <w:snapToGrid w:val="0"/>
              <w:spacing w:line="480" w:lineRule="exact"/>
              <w:ind w:firstLine="480"/>
              <w:rPr>
                <w:color w:val="auto"/>
                <w:highlight w:val="none"/>
              </w:rPr>
            </w:pPr>
            <w:r>
              <w:rPr>
                <w:rFonts w:hint="eastAsia"/>
                <w:color w:val="auto"/>
                <w:highlight w:val="none"/>
              </w:rPr>
              <w:t>本项目</w:t>
            </w:r>
            <w:r>
              <w:rPr>
                <w:rFonts w:hint="eastAsia"/>
                <w:color w:val="auto"/>
                <w:highlight w:val="none"/>
                <w:lang w:val="en-US" w:eastAsia="zh-CN"/>
              </w:rPr>
              <w:t>未新增占地，不占用耕地，</w:t>
            </w:r>
            <w:r>
              <w:rPr>
                <w:rFonts w:hint="eastAsia"/>
                <w:color w:val="auto"/>
                <w:highlight w:val="none"/>
              </w:rPr>
              <w:t>符合《黑龙江省人民政府办公厅关于建设占用耕地耕作层土壤剥离利用工作的指导意见（试行）》的要求。</w:t>
            </w:r>
          </w:p>
          <w:p w14:paraId="2D90E190">
            <w:pPr>
              <w:autoSpaceDE w:val="0"/>
              <w:autoSpaceDN w:val="0"/>
              <w:adjustRightInd w:val="0"/>
              <w:snapToGrid w:val="0"/>
              <w:spacing w:line="480" w:lineRule="exact"/>
              <w:ind w:firstLine="482"/>
              <w:rPr>
                <w:b/>
                <w:color w:val="auto"/>
                <w:highlight w:val="none"/>
              </w:rPr>
            </w:pPr>
            <w:r>
              <w:rPr>
                <w:b/>
                <w:color w:val="auto"/>
                <w:highlight w:val="none"/>
              </w:rPr>
              <w:t>6</w:t>
            </w:r>
            <w:r>
              <w:rPr>
                <w:rFonts w:hint="eastAsia"/>
                <w:b/>
                <w:color w:val="auto"/>
                <w:highlight w:val="none"/>
              </w:rPr>
              <w:t>、《黑龙江省黑土地保护利用条例》符合性</w:t>
            </w:r>
          </w:p>
          <w:p w14:paraId="03D1204B">
            <w:pPr>
              <w:autoSpaceDE w:val="0"/>
              <w:autoSpaceDN w:val="0"/>
              <w:adjustRightInd w:val="0"/>
              <w:snapToGrid w:val="0"/>
              <w:spacing w:line="480" w:lineRule="exact"/>
              <w:ind w:firstLine="480"/>
              <w:rPr>
                <w:color w:val="auto"/>
                <w:highlight w:val="none"/>
              </w:rPr>
            </w:pPr>
            <w:r>
              <w:rPr>
                <w:rFonts w:hint="eastAsia"/>
                <w:color w:val="auto"/>
                <w:highlight w:val="none"/>
              </w:rPr>
              <w:t>根据《黑龙江省黑土地保护利用条例》（202</w:t>
            </w:r>
            <w:r>
              <w:rPr>
                <w:color w:val="auto"/>
                <w:highlight w:val="none"/>
              </w:rPr>
              <w:t>4</w:t>
            </w:r>
            <w:r>
              <w:rPr>
                <w:rFonts w:hint="eastAsia"/>
                <w:color w:val="auto"/>
                <w:highlight w:val="none"/>
              </w:rPr>
              <w:t>年3月1日施行）中“第四章 建设与利用”第四十四“建设项目不得占用黑土地；确需占用的，应当依法严格审批，并补充数量和质量相当的耕地。基础设施建设应当采取必要措施，避免因建设项目导致水淹耕地或者破坏黑土地生态环境”，“第四十五条 建设项目占用黑土地的，应当按照规定的标准对耕作层的土壤进行剥离。剥离的黑土应当就近用于新开垦耕地和低质耕地改良、被污染耕地的治理、高标准农田建设、土地复垦等。建设项目主体应当制定剥离黑土的再利用方案，报自然资源主管部门备案。”</w:t>
            </w:r>
          </w:p>
          <w:p w14:paraId="2C764F12">
            <w:pPr>
              <w:autoSpaceDE w:val="0"/>
              <w:autoSpaceDN w:val="0"/>
              <w:adjustRightInd w:val="0"/>
              <w:snapToGrid w:val="0"/>
              <w:spacing w:line="480" w:lineRule="exact"/>
              <w:ind w:firstLine="480"/>
              <w:rPr>
                <w:color w:val="auto"/>
                <w:highlight w:val="none"/>
              </w:rPr>
            </w:pPr>
            <w:r>
              <w:rPr>
                <w:rFonts w:hint="eastAsia"/>
                <w:color w:val="auto"/>
                <w:highlight w:val="none"/>
              </w:rPr>
              <w:t>本项目为改扩建工程，</w:t>
            </w:r>
            <w:r>
              <w:rPr>
                <w:rFonts w:hint="eastAsia"/>
                <w:color w:val="auto"/>
                <w:highlight w:val="none"/>
                <w:lang w:eastAsia="zh-CN"/>
              </w:rPr>
              <w:t>占地位于</w:t>
            </w:r>
            <w:r>
              <w:rPr>
                <w:rFonts w:hint="eastAsia"/>
                <w:color w:val="auto"/>
                <w:szCs w:val="21"/>
                <w:highlight w:val="none"/>
                <w:vertAlign w:val="baseline"/>
                <w:lang w:val="en-US" w:eastAsia="zh-CN"/>
              </w:rPr>
              <w:t>公路红线边界内，</w:t>
            </w:r>
            <w:r>
              <w:rPr>
                <w:rFonts w:hint="eastAsia"/>
                <w:color w:val="auto"/>
                <w:highlight w:val="none"/>
                <w:lang w:eastAsia="zh-CN"/>
              </w:rPr>
              <w:t>未新增占地，</w:t>
            </w:r>
            <w:r>
              <w:rPr>
                <w:rFonts w:hint="eastAsia"/>
                <w:color w:val="auto"/>
                <w:highlight w:val="none"/>
                <w:lang w:val="en-US" w:eastAsia="zh-CN"/>
              </w:rPr>
              <w:t>占地类型为公路用地，未占用耕地，</w:t>
            </w:r>
            <w:r>
              <w:rPr>
                <w:rFonts w:hint="eastAsia"/>
                <w:color w:val="auto"/>
                <w:highlight w:val="none"/>
              </w:rPr>
              <w:t>符合《黑龙江省黑土地保护利用条例》的要求。</w:t>
            </w:r>
          </w:p>
          <w:p w14:paraId="7450FB88">
            <w:pPr>
              <w:adjustRightInd w:val="0"/>
              <w:snapToGrid w:val="0"/>
              <w:spacing w:line="480" w:lineRule="exact"/>
              <w:ind w:firstLine="480"/>
              <w:rPr>
                <w:color w:val="auto"/>
                <w:highlight w:val="none"/>
              </w:rPr>
            </w:pPr>
            <w:r>
              <w:rPr>
                <w:color w:val="auto"/>
                <w:highlight w:val="none"/>
              </w:rPr>
              <w:t>7</w:t>
            </w:r>
            <w:r>
              <w:rPr>
                <w:rFonts w:hint="eastAsia"/>
                <w:b/>
                <w:color w:val="auto"/>
                <w:highlight w:val="none"/>
              </w:rPr>
              <w:t>、</w:t>
            </w:r>
            <w:r>
              <w:rPr>
                <w:rFonts w:hint="eastAsia"/>
                <w:b/>
                <w:color w:val="auto"/>
                <w:highlight w:val="yellow"/>
              </w:rPr>
              <w:t>“</w:t>
            </w:r>
            <w:r>
              <w:rPr>
                <w:rFonts w:hint="eastAsia"/>
                <w:b/>
                <w:color w:val="auto"/>
                <w:highlight w:val="yellow"/>
                <w:lang w:val="en-US" w:eastAsia="zh-CN"/>
              </w:rPr>
              <w:t>生态环境分区管控</w:t>
            </w:r>
            <w:r>
              <w:rPr>
                <w:rFonts w:hint="eastAsia"/>
                <w:b/>
                <w:color w:val="auto"/>
                <w:highlight w:val="yellow"/>
              </w:rPr>
              <w:t>”符合性分析</w:t>
            </w:r>
          </w:p>
          <w:p w14:paraId="0DC7AD66">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szCs w:val="24"/>
                <w:highlight w:val="none"/>
              </w:rPr>
              <w:t>根据《关于发布2023年生态环境分区管控动态更新成果的通知》（黑环发〔2024〕1号）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《黑龙江省人民政府关于实施“三线一单”生态环境分区管控的意见（黑政发[2020]14号）》、</w:t>
            </w:r>
            <w:r>
              <w:rPr>
                <w:rFonts w:hint="default" w:ascii="Times New Roman" w:hAnsi="Times New Roman" w:cs="Times New Roman"/>
                <w:color w:val="auto"/>
                <w:sz w:val="24"/>
                <w:highlight w:val="none"/>
                <w:lang w:bidi="ar"/>
              </w:rPr>
              <w:t>《绥化市人民政府关于实施“三线一单”生态环境分区管控的意见》（</w:t>
            </w:r>
            <w:r>
              <w:rPr>
                <w:rFonts w:hint="eastAsia" w:ascii="Times New Roman" w:hAnsi="Times New Roman" w:cs="Times New Roman"/>
                <w:color w:val="auto"/>
                <w:sz w:val="24"/>
                <w:highlight w:val="none"/>
                <w:lang w:val="en-US" w:eastAsia="zh-CN" w:bidi="ar"/>
              </w:rPr>
              <w:t>绥</w:t>
            </w:r>
            <w:r>
              <w:rPr>
                <w:rFonts w:hint="default" w:ascii="Times New Roman" w:hAnsi="Times New Roman" w:cs="Times New Roman"/>
                <w:color w:val="auto"/>
                <w:sz w:val="24"/>
                <w:highlight w:val="none"/>
                <w:lang w:bidi="ar"/>
              </w:rPr>
              <w:t>政发〔2021〕</w:t>
            </w:r>
            <w:r>
              <w:rPr>
                <w:rFonts w:hint="eastAsia" w:ascii="Times New Roman" w:hAnsi="Times New Roman" w:cs="Times New Roman"/>
                <w:color w:val="auto"/>
                <w:sz w:val="24"/>
                <w:highlight w:val="none"/>
                <w:lang w:val="en-US" w:eastAsia="zh-CN" w:bidi="ar"/>
              </w:rPr>
              <w:t>10</w:t>
            </w:r>
            <w:r>
              <w:rPr>
                <w:rFonts w:hint="default" w:ascii="Times New Roman" w:hAnsi="Times New Roman" w:cs="Times New Roman"/>
                <w:color w:val="auto"/>
                <w:sz w:val="24"/>
                <w:highlight w:val="none"/>
                <w:lang w:bidi="ar"/>
              </w:rPr>
              <w:t>号）、《</w:t>
            </w:r>
            <w:r>
              <w:rPr>
                <w:rFonts w:hint="eastAsia" w:cs="Times New Roman"/>
                <w:color w:val="auto"/>
                <w:sz w:val="24"/>
                <w:highlight w:val="none"/>
                <w:lang w:val="en-US" w:eastAsia="zh-CN" w:bidi="ar"/>
              </w:rPr>
              <w:t>绥化市</w:t>
            </w:r>
            <w:r>
              <w:rPr>
                <w:rFonts w:hint="default" w:ascii="Times New Roman" w:hAnsi="Times New Roman" w:cs="Times New Roman"/>
                <w:color w:val="auto"/>
                <w:sz w:val="24"/>
                <w:highlight w:val="none"/>
                <w:lang w:bidi="ar"/>
              </w:rPr>
              <w:t>生态环境准入清单》</w:t>
            </w:r>
            <w:r>
              <w:rPr>
                <w:rFonts w:hint="eastAsia" w:cs="Times New Roman"/>
                <w:color w:val="auto"/>
                <w:sz w:val="24"/>
                <w:highlight w:val="none"/>
                <w:lang w:eastAsia="zh-CN" w:bidi="ar"/>
              </w:rPr>
              <w:t>（</w:t>
            </w:r>
            <w:r>
              <w:rPr>
                <w:rFonts w:hint="eastAsia" w:cs="Times New Roman"/>
                <w:color w:val="auto"/>
                <w:sz w:val="24"/>
                <w:highlight w:val="none"/>
                <w:lang w:val="en-US" w:eastAsia="zh-CN" w:bidi="ar"/>
              </w:rPr>
              <w:t>2023版）</w:t>
            </w:r>
            <w:r>
              <w:rPr>
                <w:rFonts w:hint="default" w:ascii="Times New Roman" w:hAnsi="Times New Roman" w:cs="Times New Roman"/>
                <w:color w:val="auto"/>
                <w:sz w:val="24"/>
                <w:szCs w:val="24"/>
                <w:highlight w:val="none"/>
                <w:lang w:eastAsia="zh-CN"/>
              </w:rPr>
              <w:t>、《2023年兰西县农村公路提质升级项目临江至长江公路改扩建工程生态环境分区管控分析报告》</w:t>
            </w:r>
            <w:r>
              <w:rPr>
                <w:rFonts w:hint="default" w:ascii="Times New Roman" w:hAnsi="Times New Roman" w:cs="Times New Roman"/>
                <w:color w:val="auto"/>
                <w:sz w:val="24"/>
                <w:highlight w:val="none"/>
                <w:lang w:bidi="ar"/>
              </w:rPr>
              <w:t>，对本项目进行生态环境分区管控符合性分析。</w:t>
            </w:r>
          </w:p>
          <w:p w14:paraId="4D6641EF">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jc w:val="left"/>
              <w:textAlignment w:val="auto"/>
              <w:rPr>
                <w:rFonts w:hint="default" w:ascii="Times New Roman" w:hAnsi="Times New Roman" w:cs="Times New Roman"/>
                <w:color w:val="auto"/>
                <w:sz w:val="24"/>
                <w:szCs w:val="24"/>
                <w:highlight w:val="none"/>
                <w:lang w:val="zh-TW"/>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生态保护红线：本项目不位于国家公园、自然保护区、森林公园、风景名胜区、地质公园、世界自然遗产、湿地公园、饮用水水源保护区及其他禁止开发区域内。本项目位于</w:t>
            </w:r>
            <w:r>
              <w:rPr>
                <w:rFonts w:hint="default" w:ascii="Times New Roman" w:hAnsi="Times New Roman" w:eastAsia="宋体" w:cs="Times New Roman"/>
                <w:color w:val="auto"/>
                <w:kern w:val="0"/>
                <w:sz w:val="24"/>
                <w:szCs w:val="24"/>
                <w:highlight w:val="none"/>
                <w:lang w:eastAsia="zh-CN"/>
              </w:rPr>
              <w:t xml:space="preserve"> 黑龙江省绥化市市兰西县</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zh-TW"/>
              </w:rPr>
              <w:t>本项目所在地属于“</w:t>
            </w:r>
            <w:r>
              <w:rPr>
                <w:rFonts w:hint="eastAsia" w:cs="Times New Roman"/>
                <w:color w:val="auto"/>
                <w:sz w:val="24"/>
                <w:szCs w:val="24"/>
                <w:highlight w:val="none"/>
                <w:lang w:eastAsia="zh-CN"/>
              </w:rPr>
              <w:t>重点管控单元</w:t>
            </w:r>
            <w:r>
              <w:rPr>
                <w:rFonts w:hint="default" w:ascii="Times New Roman" w:hAnsi="Times New Roman" w:cs="Times New Roman"/>
                <w:color w:val="auto"/>
                <w:sz w:val="24"/>
                <w:szCs w:val="24"/>
                <w:highlight w:val="none"/>
                <w:lang w:val="zh-TW"/>
              </w:rPr>
              <w:t>”</w:t>
            </w:r>
            <w:r>
              <w:rPr>
                <w:rFonts w:hint="eastAsia"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lang w:val="zh-TW"/>
              </w:rPr>
              <w:t>“</w:t>
            </w:r>
            <w:r>
              <w:rPr>
                <w:rFonts w:hint="eastAsia" w:cs="Times New Roman"/>
                <w:color w:val="auto"/>
                <w:sz w:val="24"/>
                <w:szCs w:val="24"/>
                <w:highlight w:val="none"/>
                <w:lang w:val="en-US" w:eastAsia="zh-CN"/>
              </w:rPr>
              <w:t>一般</w:t>
            </w:r>
            <w:r>
              <w:rPr>
                <w:rFonts w:hint="eastAsia" w:cs="Times New Roman"/>
                <w:color w:val="auto"/>
                <w:sz w:val="24"/>
                <w:szCs w:val="24"/>
                <w:highlight w:val="none"/>
                <w:lang w:eastAsia="zh-CN"/>
              </w:rPr>
              <w:t>管控单元</w:t>
            </w:r>
            <w:r>
              <w:rPr>
                <w:rFonts w:hint="default" w:ascii="Times New Roman" w:hAnsi="Times New Roman" w:cs="Times New Roman"/>
                <w:color w:val="auto"/>
                <w:sz w:val="24"/>
                <w:szCs w:val="24"/>
                <w:highlight w:val="none"/>
                <w:lang w:val="zh-TW"/>
              </w:rPr>
              <w:t>”，不在生态保护红线范围内。因此项目建设符合生态保护红线要求。</w:t>
            </w:r>
          </w:p>
          <w:p w14:paraId="193B48EB">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color w:val="auto"/>
                <w:highlight w:val="none"/>
              </w:rPr>
            </w:pPr>
            <w:r>
              <w:rPr>
                <w:rFonts w:hint="eastAsia"/>
                <w:color w:val="auto"/>
                <w:highlight w:val="none"/>
              </w:rPr>
              <w:t>（2）环境质量底线</w:t>
            </w:r>
          </w:p>
          <w:p w14:paraId="255D1251">
            <w:pPr>
              <w:pStyle w:val="46"/>
              <w:keepNext w:val="0"/>
              <w:keepLines w:val="0"/>
              <w:pageBreakBefore w:val="0"/>
              <w:widowControl w:val="0"/>
              <w:kinsoku/>
              <w:wordWrap/>
              <w:overflowPunct/>
              <w:topLinePunct w:val="0"/>
              <w:bidi w:val="0"/>
              <w:spacing w:line="360" w:lineRule="auto"/>
              <w:ind w:firstLine="480"/>
              <w:textAlignment w:val="auto"/>
              <w:rPr>
                <w:rFonts w:cs="Times New Roman"/>
                <w:color w:val="auto"/>
                <w:highlight w:val="none"/>
              </w:rPr>
            </w:pPr>
            <w:r>
              <w:rPr>
                <w:rFonts w:cs="Times New Roman"/>
                <w:color w:val="auto"/>
                <w:highlight w:val="none"/>
              </w:rPr>
              <w:t>①</w:t>
            </w:r>
            <w:r>
              <w:rPr>
                <w:rFonts w:hint="eastAsia" w:cs="Times New Roman"/>
                <w:color w:val="auto"/>
                <w:highlight w:val="none"/>
              </w:rPr>
              <w:t>大气</w:t>
            </w:r>
          </w:p>
          <w:p w14:paraId="09EA65F7">
            <w:pPr>
              <w:ind w:firstLine="482" w:firstLineChars="200"/>
              <w:contextualSpacing/>
              <w:jc w:val="center"/>
              <w:rPr>
                <w:color w:val="auto"/>
                <w:kern w:val="0"/>
                <w:szCs w:val="21"/>
                <w:highlight w:val="none"/>
              </w:rPr>
            </w:pPr>
            <w:r>
              <w:rPr>
                <w:b/>
                <w:color w:val="auto"/>
                <w:kern w:val="0"/>
                <w:szCs w:val="21"/>
                <w:highlight w:val="none"/>
              </w:rPr>
              <w:t>表1-</w:t>
            </w:r>
            <w:r>
              <w:rPr>
                <w:rFonts w:hint="eastAsia"/>
                <w:b/>
                <w:color w:val="auto"/>
                <w:kern w:val="0"/>
                <w:szCs w:val="21"/>
                <w:highlight w:val="none"/>
                <w:lang w:val="en-US" w:eastAsia="zh-CN"/>
              </w:rPr>
              <w:t>1</w:t>
            </w:r>
            <w:r>
              <w:rPr>
                <w:b/>
                <w:color w:val="auto"/>
                <w:kern w:val="0"/>
                <w:szCs w:val="21"/>
                <w:highlight w:val="none"/>
              </w:rPr>
              <w:t xml:space="preserve"> 大气环境分区管控要求符合性分析</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105"/>
              <w:gridCol w:w="5640"/>
            </w:tblGrid>
            <w:tr w14:paraId="6CDDF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89" w:type="pct"/>
                  <w:tcBorders>
                    <w:top w:val="single" w:color="auto" w:sz="12" w:space="0"/>
                    <w:left w:val="nil"/>
                    <w:bottom w:val="single" w:color="auto" w:sz="4" w:space="0"/>
                    <w:right w:val="single" w:color="auto" w:sz="4" w:space="0"/>
                  </w:tcBorders>
                  <w:vAlign w:val="center"/>
                </w:tcPr>
                <w:p w14:paraId="034DA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管控单元类别</w:t>
                  </w:r>
                </w:p>
              </w:tc>
              <w:tc>
                <w:tcPr>
                  <w:tcW w:w="4310" w:type="pct"/>
                  <w:gridSpan w:val="2"/>
                  <w:tcBorders>
                    <w:top w:val="single" w:color="auto" w:sz="12" w:space="0"/>
                    <w:left w:val="single" w:color="auto" w:sz="4" w:space="0"/>
                    <w:bottom w:val="single" w:color="auto" w:sz="4" w:space="0"/>
                    <w:right w:val="nil"/>
                  </w:tcBorders>
                  <w:vAlign w:val="center"/>
                </w:tcPr>
                <w:p w14:paraId="389BF4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大气</w:t>
                  </w:r>
                  <w:r>
                    <w:rPr>
                      <w:rFonts w:hint="eastAsia"/>
                      <w:color w:val="auto"/>
                      <w:kern w:val="0"/>
                      <w:sz w:val="21"/>
                      <w:szCs w:val="21"/>
                      <w:highlight w:val="none"/>
                    </w:rPr>
                    <w:t>环境</w:t>
                  </w:r>
                  <w:r>
                    <w:rPr>
                      <w:color w:val="auto"/>
                      <w:kern w:val="0"/>
                      <w:sz w:val="21"/>
                      <w:szCs w:val="21"/>
                      <w:highlight w:val="none"/>
                    </w:rPr>
                    <w:t>（</w:t>
                  </w:r>
                  <w:r>
                    <w:rPr>
                      <w:rFonts w:hint="eastAsia"/>
                      <w:color w:val="auto"/>
                      <w:kern w:val="0"/>
                      <w:sz w:val="21"/>
                      <w:szCs w:val="21"/>
                      <w:highlight w:val="none"/>
                    </w:rPr>
                    <w:t>一般管控</w:t>
                  </w:r>
                  <w:r>
                    <w:rPr>
                      <w:color w:val="auto"/>
                      <w:kern w:val="0"/>
                      <w:sz w:val="21"/>
                      <w:szCs w:val="21"/>
                      <w:highlight w:val="none"/>
                    </w:rPr>
                    <w:t>区）</w:t>
                  </w:r>
                </w:p>
              </w:tc>
            </w:tr>
            <w:tr w14:paraId="00F51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689" w:type="pct"/>
                  <w:vMerge w:val="restart"/>
                  <w:tcBorders>
                    <w:top w:val="single" w:color="auto" w:sz="4" w:space="0"/>
                    <w:left w:val="nil"/>
                    <w:right w:val="single" w:color="auto" w:sz="4" w:space="0"/>
                  </w:tcBorders>
                  <w:vAlign w:val="center"/>
                </w:tcPr>
                <w:p w14:paraId="20DD65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管控要求</w:t>
                  </w:r>
                </w:p>
              </w:tc>
              <w:tc>
                <w:tcPr>
                  <w:tcW w:w="706" w:type="pct"/>
                  <w:tcBorders>
                    <w:top w:val="single" w:color="auto" w:sz="4" w:space="0"/>
                    <w:left w:val="single" w:color="auto" w:sz="4" w:space="0"/>
                    <w:bottom w:val="single" w:color="auto" w:sz="4" w:space="0"/>
                    <w:right w:val="single" w:color="auto" w:sz="4" w:space="0"/>
                  </w:tcBorders>
                  <w:vAlign w:val="center"/>
                </w:tcPr>
                <w:p w14:paraId="19413D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空间布局约束</w:t>
                  </w:r>
                </w:p>
              </w:tc>
              <w:tc>
                <w:tcPr>
                  <w:tcW w:w="3603" w:type="pct"/>
                  <w:tcBorders>
                    <w:top w:val="single" w:color="auto" w:sz="4" w:space="0"/>
                    <w:left w:val="single" w:color="auto" w:sz="4" w:space="0"/>
                    <w:bottom w:val="single" w:color="auto" w:sz="4" w:space="0"/>
                    <w:right w:val="nil"/>
                  </w:tcBorders>
                  <w:vAlign w:val="center"/>
                </w:tcPr>
                <w:p w14:paraId="1FF7CA1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减少新增化工园区，除符合省政府产</w:t>
                  </w:r>
                  <w:r>
                    <w:rPr>
                      <w:rFonts w:hint="eastAsia"/>
                      <w:color w:val="auto"/>
                      <w:sz w:val="21"/>
                      <w:szCs w:val="21"/>
                      <w:highlight w:val="none"/>
                    </w:rPr>
                    <w:t>业布局调整政策外，减少新增钢铁、电解铝、水泥和平板玻璃等产能。减少建设生产和使用高</w:t>
                  </w:r>
                  <w:r>
                    <w:rPr>
                      <w:color w:val="auto"/>
                      <w:sz w:val="21"/>
                      <w:szCs w:val="21"/>
                      <w:highlight w:val="none"/>
                    </w:rPr>
                    <w:t>VOCs</w:t>
                  </w:r>
                  <w:r>
                    <w:rPr>
                      <w:rFonts w:hint="eastAsia"/>
                      <w:color w:val="auto"/>
                      <w:sz w:val="21"/>
                      <w:szCs w:val="21"/>
                      <w:highlight w:val="none"/>
                    </w:rPr>
                    <w:t>含量的溶剂型涂料、油墨、胶粘剂等项目。</w:t>
                  </w:r>
                </w:p>
              </w:tc>
            </w:tr>
            <w:tr w14:paraId="6F21E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689" w:type="pct"/>
                  <w:vMerge w:val="continue"/>
                  <w:tcBorders>
                    <w:left w:val="nil"/>
                    <w:right w:val="single" w:color="auto" w:sz="4" w:space="0"/>
                  </w:tcBorders>
                  <w:vAlign w:val="center"/>
                </w:tcPr>
                <w:p w14:paraId="4ABCD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706" w:type="pct"/>
                  <w:tcBorders>
                    <w:top w:val="single" w:color="auto" w:sz="4" w:space="0"/>
                    <w:left w:val="single" w:color="auto" w:sz="4" w:space="0"/>
                    <w:bottom w:val="single" w:color="auto" w:sz="4" w:space="0"/>
                    <w:right w:val="single" w:color="auto" w:sz="4" w:space="0"/>
                  </w:tcBorders>
                  <w:vAlign w:val="center"/>
                </w:tcPr>
                <w:p w14:paraId="649E7D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污染物排放管控</w:t>
                  </w:r>
                </w:p>
              </w:tc>
              <w:tc>
                <w:tcPr>
                  <w:tcW w:w="3603" w:type="pct"/>
                  <w:tcBorders>
                    <w:top w:val="single" w:color="auto" w:sz="4" w:space="0"/>
                    <w:left w:val="single" w:color="auto" w:sz="4" w:space="0"/>
                    <w:bottom w:val="single" w:color="auto" w:sz="4" w:space="0"/>
                    <w:right w:val="nil"/>
                  </w:tcBorders>
                  <w:vAlign w:val="center"/>
                </w:tcPr>
                <w:p w14:paraId="5134BF3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二氧化硫、氮氧化物、颗粒物、VOCs</w:t>
                  </w:r>
                  <w:r>
                    <w:rPr>
                      <w:rFonts w:hint="eastAsia"/>
                      <w:color w:val="auto"/>
                      <w:sz w:val="21"/>
                      <w:szCs w:val="21"/>
                      <w:highlight w:val="none"/>
                    </w:rPr>
                    <w:t>全面执行国家、省及各市下达的大气污染防治要求。新建钢铁、焦化等高污染项目要同时配置最先进的生产工艺和污染治理装备。</w:t>
                  </w:r>
                </w:p>
              </w:tc>
            </w:tr>
            <w:tr w14:paraId="20009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689" w:type="pct"/>
                  <w:vMerge w:val="continue"/>
                  <w:tcBorders>
                    <w:left w:val="nil"/>
                    <w:right w:val="single" w:color="auto" w:sz="4" w:space="0"/>
                  </w:tcBorders>
                  <w:vAlign w:val="center"/>
                </w:tcPr>
                <w:p w14:paraId="12A718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706" w:type="pct"/>
                  <w:tcBorders>
                    <w:top w:val="single" w:color="auto" w:sz="4" w:space="0"/>
                    <w:left w:val="single" w:color="auto" w:sz="4" w:space="0"/>
                    <w:bottom w:val="single" w:color="auto" w:sz="4" w:space="0"/>
                    <w:right w:val="single" w:color="auto" w:sz="4" w:space="0"/>
                  </w:tcBorders>
                  <w:vAlign w:val="center"/>
                </w:tcPr>
                <w:p w14:paraId="1A395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环境风险防控</w:t>
                  </w:r>
                </w:p>
              </w:tc>
              <w:tc>
                <w:tcPr>
                  <w:tcW w:w="3603" w:type="pct"/>
                  <w:tcBorders>
                    <w:top w:val="single" w:color="auto" w:sz="4" w:space="0"/>
                    <w:left w:val="single" w:color="auto" w:sz="4" w:space="0"/>
                    <w:bottom w:val="single" w:color="auto" w:sz="4" w:space="0"/>
                    <w:right w:val="nil"/>
                  </w:tcBorders>
                  <w:vAlign w:val="center"/>
                </w:tcPr>
                <w:p w14:paraId="3C0B53C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编制区域内大气污染应急减排</w:t>
                  </w:r>
                  <w:r>
                    <w:rPr>
                      <w:rFonts w:hint="eastAsia"/>
                      <w:color w:val="auto"/>
                      <w:sz w:val="21"/>
                      <w:szCs w:val="21"/>
                      <w:highlight w:val="none"/>
                    </w:rPr>
                    <w:t>项目清单，做到可操作、可核查、可监测，当预测到区域将出现重污染天气时，根据预警发布，按级别启动应急响应措施。</w:t>
                  </w:r>
                </w:p>
              </w:tc>
            </w:tr>
            <w:tr w14:paraId="4E6BF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689" w:type="pct"/>
                  <w:vMerge w:val="continue"/>
                  <w:tcBorders>
                    <w:left w:val="nil"/>
                    <w:bottom w:val="single" w:color="auto" w:sz="4" w:space="0"/>
                    <w:right w:val="single" w:color="auto" w:sz="4" w:space="0"/>
                  </w:tcBorders>
                  <w:vAlign w:val="center"/>
                </w:tcPr>
                <w:p w14:paraId="59D77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706" w:type="pct"/>
                  <w:tcBorders>
                    <w:top w:val="single" w:color="auto" w:sz="4" w:space="0"/>
                    <w:left w:val="single" w:color="auto" w:sz="4" w:space="0"/>
                    <w:bottom w:val="single" w:color="auto" w:sz="4" w:space="0"/>
                    <w:right w:val="single" w:color="auto" w:sz="4" w:space="0"/>
                  </w:tcBorders>
                  <w:vAlign w:val="center"/>
                </w:tcPr>
                <w:p w14:paraId="75AC3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资源开发率要求</w:t>
                  </w:r>
                </w:p>
              </w:tc>
              <w:tc>
                <w:tcPr>
                  <w:tcW w:w="3603" w:type="pct"/>
                  <w:tcBorders>
                    <w:top w:val="single" w:color="auto" w:sz="4" w:space="0"/>
                    <w:left w:val="single" w:color="auto" w:sz="4" w:space="0"/>
                    <w:bottom w:val="single" w:color="auto" w:sz="4" w:space="0"/>
                    <w:right w:val="nil"/>
                  </w:tcBorders>
                  <w:vAlign w:val="center"/>
                </w:tcPr>
                <w:p w14:paraId="6EC8AD6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禁燃区禁止新建、扩</w:t>
                  </w:r>
                  <w:r>
                    <w:rPr>
                      <w:rFonts w:hint="eastAsia"/>
                      <w:color w:val="auto"/>
                      <w:sz w:val="21"/>
                      <w:szCs w:val="21"/>
                      <w:highlight w:val="none"/>
                    </w:rPr>
                    <w:t>建燃用高污染燃料的项目和设施，已建成的应逐步或依法限期改用天然气、电</w:t>
                  </w:r>
                  <w:r>
                    <w:rPr>
                      <w:color w:val="auto"/>
                      <w:sz w:val="21"/>
                      <w:szCs w:val="21"/>
                      <w:highlight w:val="none"/>
                    </w:rPr>
                    <w:t>或者其他清洁能源。</w:t>
                  </w:r>
                  <w:r>
                    <w:rPr>
                      <w:rFonts w:hint="eastAsia"/>
                      <w:color w:val="auto"/>
                      <w:sz w:val="21"/>
                      <w:szCs w:val="21"/>
                      <w:highlight w:val="none"/>
                    </w:rPr>
                    <w:t>新上耗煤项目实施煤炭减量替代，单位产品（产值）能耗要达到国内先进水平。</w:t>
                  </w:r>
                </w:p>
              </w:tc>
            </w:tr>
            <w:tr w14:paraId="696AA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689" w:type="pct"/>
                  <w:tcBorders>
                    <w:top w:val="single" w:color="auto" w:sz="4" w:space="0"/>
                    <w:left w:val="nil"/>
                    <w:bottom w:val="single" w:color="auto" w:sz="12" w:space="0"/>
                    <w:right w:val="single" w:color="auto" w:sz="4" w:space="0"/>
                  </w:tcBorders>
                  <w:vAlign w:val="center"/>
                </w:tcPr>
                <w:p w14:paraId="2B8DD9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符合性分析</w:t>
                  </w:r>
                </w:p>
              </w:tc>
              <w:tc>
                <w:tcPr>
                  <w:tcW w:w="4310" w:type="pct"/>
                  <w:gridSpan w:val="2"/>
                  <w:tcBorders>
                    <w:top w:val="single" w:color="auto" w:sz="4" w:space="0"/>
                    <w:left w:val="single" w:color="auto" w:sz="4" w:space="0"/>
                    <w:bottom w:val="single" w:color="auto" w:sz="12" w:space="0"/>
                    <w:right w:val="nil"/>
                  </w:tcBorders>
                  <w:vAlign w:val="center"/>
                </w:tcPr>
                <w:p w14:paraId="454F4EA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auto"/>
                      <w:kern w:val="0"/>
                      <w:sz w:val="21"/>
                      <w:szCs w:val="21"/>
                      <w:highlight w:val="none"/>
                      <w:lang w:eastAsia="zh-CN"/>
                    </w:rPr>
                  </w:pPr>
                  <w:r>
                    <w:rPr>
                      <w:color w:val="auto"/>
                      <w:kern w:val="0"/>
                      <w:sz w:val="21"/>
                      <w:szCs w:val="21"/>
                      <w:highlight w:val="none"/>
                    </w:rPr>
                    <w:t>本项目为</w:t>
                  </w:r>
                  <w:r>
                    <w:rPr>
                      <w:rFonts w:hint="eastAsia"/>
                      <w:color w:val="auto"/>
                      <w:kern w:val="0"/>
                      <w:sz w:val="21"/>
                      <w:szCs w:val="21"/>
                      <w:highlight w:val="none"/>
                      <w:lang w:val="en-US" w:eastAsia="zh-CN"/>
                    </w:rPr>
                    <w:t>公路工程</w:t>
                  </w:r>
                  <w:r>
                    <w:rPr>
                      <w:color w:val="auto"/>
                      <w:kern w:val="0"/>
                      <w:sz w:val="21"/>
                      <w:szCs w:val="21"/>
                      <w:highlight w:val="none"/>
                    </w:rPr>
                    <w:t>。</w:t>
                  </w:r>
                  <w:r>
                    <w:rPr>
                      <w:rFonts w:hint="eastAsia"/>
                      <w:color w:val="auto"/>
                      <w:sz w:val="21"/>
                      <w:szCs w:val="21"/>
                      <w:highlight w:val="none"/>
                    </w:rPr>
                    <w:t>非高污染项目。</w:t>
                  </w:r>
                  <w:r>
                    <w:rPr>
                      <w:rFonts w:hint="eastAsia"/>
                      <w:color w:val="auto"/>
                      <w:kern w:val="0"/>
                      <w:sz w:val="21"/>
                      <w:szCs w:val="21"/>
                      <w:highlight w:val="none"/>
                    </w:rPr>
                    <w:t>本项目建成后运行期</w:t>
                  </w:r>
                  <w:r>
                    <w:rPr>
                      <w:rFonts w:hint="eastAsia"/>
                      <w:color w:val="auto"/>
                      <w:kern w:val="0"/>
                      <w:sz w:val="21"/>
                      <w:szCs w:val="21"/>
                      <w:highlight w:val="none"/>
                      <w:lang w:val="en-US" w:eastAsia="zh-CN"/>
                    </w:rPr>
                    <w:t>无</w:t>
                  </w:r>
                  <w:r>
                    <w:rPr>
                      <w:rFonts w:hint="eastAsia"/>
                      <w:color w:val="auto"/>
                      <w:kern w:val="0"/>
                      <w:sz w:val="21"/>
                      <w:szCs w:val="21"/>
                      <w:highlight w:val="none"/>
                    </w:rPr>
                    <w:t>废气、废水、固废</w:t>
                  </w:r>
                  <w:r>
                    <w:rPr>
                      <w:rFonts w:hint="eastAsia"/>
                      <w:color w:val="auto"/>
                      <w:kern w:val="0"/>
                      <w:sz w:val="21"/>
                      <w:szCs w:val="21"/>
                      <w:highlight w:val="none"/>
                      <w:lang w:val="en-US" w:eastAsia="zh-CN"/>
                    </w:rPr>
                    <w:t>产生</w:t>
                  </w:r>
                  <w:r>
                    <w:rPr>
                      <w:rFonts w:hint="eastAsia"/>
                      <w:color w:val="auto"/>
                      <w:kern w:val="0"/>
                      <w:sz w:val="21"/>
                      <w:szCs w:val="21"/>
                      <w:highlight w:val="none"/>
                      <w:lang w:eastAsia="zh-CN"/>
                    </w:rPr>
                    <w:t>，</w:t>
                  </w:r>
                  <w:r>
                    <w:rPr>
                      <w:rFonts w:hint="eastAsia"/>
                      <w:color w:val="auto"/>
                      <w:kern w:val="0"/>
                      <w:sz w:val="21"/>
                      <w:szCs w:val="21"/>
                      <w:highlight w:val="none"/>
                    </w:rPr>
                    <w:t>不会改变该区域环境质量。</w:t>
                  </w:r>
                  <w:r>
                    <w:rPr>
                      <w:rFonts w:hint="eastAsia"/>
                      <w:color w:val="auto"/>
                      <w:sz w:val="21"/>
                      <w:szCs w:val="21"/>
                      <w:highlight w:val="none"/>
                    </w:rPr>
                    <w:t>对周围环境影响较小，且不会导致环境空气功能区发生变化，符合大气环境分区管控要求</w:t>
                  </w:r>
                  <w:r>
                    <w:rPr>
                      <w:rFonts w:hint="eastAsia"/>
                      <w:color w:val="auto"/>
                      <w:sz w:val="21"/>
                      <w:szCs w:val="21"/>
                      <w:highlight w:val="none"/>
                      <w:lang w:eastAsia="zh-CN"/>
                    </w:rPr>
                    <w:t>。</w:t>
                  </w:r>
                </w:p>
              </w:tc>
            </w:tr>
          </w:tbl>
          <w:p w14:paraId="79CE325E">
            <w:pPr>
              <w:pStyle w:val="46"/>
              <w:spacing w:before="240" w:beforeLines="100" w:line="360" w:lineRule="auto"/>
              <w:ind w:firstLine="480"/>
              <w:rPr>
                <w:color w:val="auto"/>
                <w:kern w:val="0"/>
                <w:szCs w:val="21"/>
                <w:highlight w:val="none"/>
              </w:rPr>
            </w:pPr>
            <w:r>
              <w:rPr>
                <w:rFonts w:cs="Times New Roman"/>
                <w:color w:val="auto"/>
                <w:highlight w:val="none"/>
              </w:rPr>
              <w:t>②</w:t>
            </w:r>
            <w:r>
              <w:rPr>
                <w:color w:val="auto"/>
                <w:kern w:val="0"/>
                <w:szCs w:val="21"/>
                <w:highlight w:val="none"/>
              </w:rPr>
              <w:t>水环境</w:t>
            </w:r>
          </w:p>
          <w:p w14:paraId="200C8146">
            <w:pPr>
              <w:autoSpaceDE w:val="0"/>
              <w:autoSpaceDN w:val="0"/>
              <w:ind w:firstLine="482"/>
              <w:jc w:val="center"/>
              <w:rPr>
                <w:b/>
                <w:color w:val="auto"/>
                <w:szCs w:val="21"/>
                <w:highlight w:val="none"/>
              </w:rPr>
            </w:pPr>
            <w:r>
              <w:rPr>
                <w:b/>
                <w:color w:val="auto"/>
                <w:szCs w:val="21"/>
                <w:highlight w:val="none"/>
              </w:rPr>
              <w:t>表1-</w:t>
            </w:r>
            <w:r>
              <w:rPr>
                <w:rFonts w:hint="eastAsia"/>
                <w:b/>
                <w:color w:val="auto"/>
                <w:szCs w:val="21"/>
                <w:highlight w:val="none"/>
                <w:lang w:val="en-US" w:eastAsia="zh-CN"/>
              </w:rPr>
              <w:t>2</w:t>
            </w:r>
            <w:r>
              <w:rPr>
                <w:b/>
                <w:color w:val="auto"/>
                <w:szCs w:val="21"/>
                <w:highlight w:val="none"/>
              </w:rPr>
              <w:t xml:space="preserve"> 水环境分区管控要求符合性分析</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950"/>
              <w:gridCol w:w="5794"/>
            </w:tblGrid>
            <w:tr w14:paraId="08E08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0" w:type="pct"/>
                  <w:tcBorders>
                    <w:top w:val="single" w:color="auto" w:sz="12" w:space="0"/>
                    <w:left w:val="nil"/>
                    <w:bottom w:val="single" w:color="auto" w:sz="4" w:space="0"/>
                    <w:right w:val="single" w:color="auto" w:sz="4" w:space="0"/>
                  </w:tcBorders>
                  <w:vAlign w:val="center"/>
                </w:tcPr>
                <w:p w14:paraId="71BF22E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管控单元类别</w:t>
                  </w:r>
                </w:p>
              </w:tc>
              <w:tc>
                <w:tcPr>
                  <w:tcW w:w="4309" w:type="pct"/>
                  <w:gridSpan w:val="2"/>
                  <w:tcBorders>
                    <w:top w:val="single" w:color="auto" w:sz="12" w:space="0"/>
                    <w:left w:val="single" w:color="auto" w:sz="4" w:space="0"/>
                    <w:bottom w:val="single" w:color="auto" w:sz="4" w:space="0"/>
                    <w:right w:val="nil"/>
                  </w:tcBorders>
                  <w:vAlign w:val="center"/>
                </w:tcPr>
                <w:p w14:paraId="7919CCB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水环境（一般管控区）</w:t>
                  </w:r>
                </w:p>
              </w:tc>
            </w:tr>
            <w:tr w14:paraId="20629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690" w:type="pct"/>
                  <w:vMerge w:val="restart"/>
                  <w:tcBorders>
                    <w:top w:val="single" w:color="auto" w:sz="4" w:space="0"/>
                    <w:left w:val="nil"/>
                    <w:right w:val="single" w:color="auto" w:sz="4" w:space="0"/>
                  </w:tcBorders>
                  <w:vAlign w:val="center"/>
                </w:tcPr>
                <w:p w14:paraId="0ED8A3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管控要求</w:t>
                  </w:r>
                </w:p>
              </w:tc>
              <w:tc>
                <w:tcPr>
                  <w:tcW w:w="607" w:type="pct"/>
                  <w:tcBorders>
                    <w:top w:val="single" w:color="auto" w:sz="4" w:space="0"/>
                    <w:left w:val="single" w:color="auto" w:sz="4" w:space="0"/>
                    <w:bottom w:val="single" w:color="auto" w:sz="4" w:space="0"/>
                    <w:right w:val="single" w:color="auto" w:sz="4" w:space="0"/>
                  </w:tcBorders>
                  <w:vAlign w:val="center"/>
                </w:tcPr>
                <w:p w14:paraId="61033B6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空间布局约束</w:t>
                  </w:r>
                </w:p>
              </w:tc>
              <w:tc>
                <w:tcPr>
                  <w:tcW w:w="3702" w:type="pct"/>
                  <w:tcBorders>
                    <w:top w:val="single" w:color="auto" w:sz="4" w:space="0"/>
                    <w:left w:val="single" w:color="auto" w:sz="4" w:space="0"/>
                    <w:bottom w:val="single" w:color="auto" w:sz="4" w:space="0"/>
                    <w:right w:val="nil"/>
                  </w:tcBorders>
                  <w:vAlign w:val="center"/>
                </w:tcPr>
                <w:p w14:paraId="2475A779">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严格依法管控，严禁不符合主体功能定位的各</w:t>
                  </w:r>
                  <w:r>
                    <w:rPr>
                      <w:rFonts w:hint="eastAsia"/>
                      <w:color w:val="auto"/>
                      <w:sz w:val="21"/>
                      <w:szCs w:val="21"/>
                      <w:highlight w:val="none"/>
                    </w:rPr>
                    <w:t>类开发活动。加快市域内各城镇污水处理厂的建设。严格依法管控畜禽养殖企业，提高规模化养殖占比，优化种植业结构，坚持适区种植。坚持市场需求导向。</w:t>
                  </w:r>
                </w:p>
              </w:tc>
            </w:tr>
            <w:tr w14:paraId="01214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690" w:type="pct"/>
                  <w:vMerge w:val="continue"/>
                  <w:tcBorders>
                    <w:left w:val="nil"/>
                    <w:right w:val="single" w:color="auto" w:sz="4" w:space="0"/>
                  </w:tcBorders>
                  <w:vAlign w:val="center"/>
                </w:tcPr>
                <w:p w14:paraId="1BD1622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57D4170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污染物排放管控</w:t>
                  </w:r>
                </w:p>
              </w:tc>
              <w:tc>
                <w:tcPr>
                  <w:tcW w:w="3702" w:type="pct"/>
                  <w:tcBorders>
                    <w:top w:val="single" w:color="auto" w:sz="4" w:space="0"/>
                    <w:left w:val="single" w:color="auto" w:sz="4" w:space="0"/>
                    <w:bottom w:val="single" w:color="auto" w:sz="4" w:space="0"/>
                    <w:right w:val="nil"/>
                  </w:tcBorders>
                  <w:vAlign w:val="center"/>
                </w:tcPr>
                <w:p w14:paraId="5C2E5CF2">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kern w:val="0"/>
                      <w:sz w:val="21"/>
                      <w:szCs w:val="21"/>
                      <w:highlight w:val="none"/>
                    </w:rPr>
                  </w:pPr>
                  <w:r>
                    <w:rPr>
                      <w:color w:val="auto"/>
                      <w:sz w:val="21"/>
                      <w:szCs w:val="21"/>
                      <w:highlight w:val="none"/>
                    </w:rPr>
                    <w:t>加强污水厂日常监管，确保达标排放。加强</w:t>
                  </w:r>
                  <w:r>
                    <w:rPr>
                      <w:rFonts w:hint="eastAsia"/>
                      <w:color w:val="auto"/>
                      <w:sz w:val="21"/>
                      <w:szCs w:val="21"/>
                      <w:highlight w:val="none"/>
                    </w:rPr>
                    <w:t>畜禽养殖、农业种植、农村生活污染管控。加强畜禽养殖企业环境管理；实施农村环境综合整治，减少农村污水、垃圾等面源污染物排放；加强农灌水排放管理。</w:t>
                  </w:r>
                </w:p>
              </w:tc>
            </w:tr>
            <w:tr w14:paraId="2208A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90" w:type="pct"/>
                  <w:vMerge w:val="continue"/>
                  <w:tcBorders>
                    <w:left w:val="nil"/>
                    <w:right w:val="single" w:color="auto" w:sz="4" w:space="0"/>
                  </w:tcBorders>
                  <w:vAlign w:val="center"/>
                </w:tcPr>
                <w:p w14:paraId="42EF6BC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42C0F9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环境风险防控</w:t>
                  </w:r>
                </w:p>
              </w:tc>
              <w:tc>
                <w:tcPr>
                  <w:tcW w:w="3702" w:type="pct"/>
                  <w:tcBorders>
                    <w:top w:val="single" w:color="auto" w:sz="4" w:space="0"/>
                    <w:left w:val="single" w:color="auto" w:sz="4" w:space="0"/>
                    <w:bottom w:val="single" w:color="auto" w:sz="4" w:space="0"/>
                    <w:right w:val="nil"/>
                  </w:tcBorders>
                  <w:vAlign w:val="center"/>
                </w:tcPr>
                <w:p w14:paraId="4E6AF64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eastAsia="仿宋"/>
                      <w:color w:val="auto"/>
                      <w:sz w:val="21"/>
                      <w:szCs w:val="21"/>
                      <w:highlight w:val="none"/>
                    </w:rPr>
                  </w:pPr>
                  <w:r>
                    <w:rPr>
                      <w:color w:val="auto"/>
                      <w:sz w:val="21"/>
                      <w:szCs w:val="21"/>
                      <w:highlight w:val="none"/>
                    </w:rPr>
                    <w:t>加强污水厂事故排</w:t>
                  </w:r>
                  <w:r>
                    <w:rPr>
                      <w:rFonts w:hint="eastAsia"/>
                      <w:color w:val="auto"/>
                      <w:sz w:val="21"/>
                      <w:szCs w:val="21"/>
                      <w:highlight w:val="none"/>
                    </w:rPr>
                    <w:t>放管控。对化肥、农药、除草剂及包装物等处理、处置加强风险防控。</w:t>
                  </w:r>
                </w:p>
              </w:tc>
            </w:tr>
            <w:tr w14:paraId="0FCE4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690" w:type="pct"/>
                  <w:vMerge w:val="continue"/>
                  <w:tcBorders>
                    <w:left w:val="nil"/>
                    <w:bottom w:val="single" w:color="auto" w:sz="4" w:space="0"/>
                    <w:right w:val="single" w:color="auto" w:sz="4" w:space="0"/>
                  </w:tcBorders>
                  <w:vAlign w:val="center"/>
                </w:tcPr>
                <w:p w14:paraId="4038D02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color w:val="auto"/>
                      <w:kern w:val="0"/>
                      <w:sz w:val="21"/>
                      <w:szCs w:val="21"/>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26CFBD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kern w:val="0"/>
                      <w:sz w:val="21"/>
                      <w:szCs w:val="21"/>
                      <w:highlight w:val="none"/>
                    </w:rPr>
                    <w:t>资源开发效率要求</w:t>
                  </w:r>
                </w:p>
              </w:tc>
              <w:tc>
                <w:tcPr>
                  <w:tcW w:w="3702" w:type="pct"/>
                  <w:tcBorders>
                    <w:top w:val="single" w:color="auto" w:sz="4" w:space="0"/>
                    <w:left w:val="single" w:color="auto" w:sz="4" w:space="0"/>
                    <w:bottom w:val="single" w:color="auto" w:sz="4" w:space="0"/>
                    <w:right w:val="nil"/>
                  </w:tcBorders>
                  <w:vAlign w:val="center"/>
                </w:tcPr>
                <w:p w14:paraId="61021946">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建议实施清洁生产、中水回</w:t>
                  </w:r>
                  <w:r>
                    <w:rPr>
                      <w:rFonts w:hint="eastAsia"/>
                      <w:color w:val="auto"/>
                      <w:sz w:val="21"/>
                      <w:szCs w:val="21"/>
                      <w:highlight w:val="none"/>
                    </w:rPr>
                    <w:t>用、循环利用。提高化肥、农药、除草剂及农业生产废弃物、畜禽粪便等资源综合利用水平。</w:t>
                  </w:r>
                </w:p>
              </w:tc>
            </w:tr>
            <w:tr w14:paraId="16B4E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690" w:type="pct"/>
                  <w:tcBorders>
                    <w:top w:val="single" w:color="auto" w:sz="4" w:space="0"/>
                    <w:left w:val="nil"/>
                    <w:bottom w:val="single" w:color="auto" w:sz="12" w:space="0"/>
                    <w:right w:val="single" w:color="auto" w:sz="4" w:space="0"/>
                  </w:tcBorders>
                  <w:vAlign w:val="center"/>
                </w:tcPr>
                <w:p w14:paraId="087493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符合性分析</w:t>
                  </w:r>
                </w:p>
              </w:tc>
              <w:tc>
                <w:tcPr>
                  <w:tcW w:w="4309" w:type="pct"/>
                  <w:gridSpan w:val="2"/>
                  <w:tcBorders>
                    <w:top w:val="single" w:color="auto" w:sz="4" w:space="0"/>
                    <w:left w:val="single" w:color="auto" w:sz="4" w:space="0"/>
                    <w:bottom w:val="single" w:color="auto" w:sz="12" w:space="0"/>
                    <w:right w:val="nil"/>
                  </w:tcBorders>
                  <w:vAlign w:val="center"/>
                </w:tcPr>
                <w:p w14:paraId="0BA76FB2">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本项目为</w:t>
                  </w:r>
                  <w:r>
                    <w:rPr>
                      <w:rFonts w:hint="eastAsia"/>
                      <w:color w:val="auto"/>
                      <w:sz w:val="21"/>
                      <w:szCs w:val="21"/>
                      <w:highlight w:val="none"/>
                      <w:lang w:val="en-US" w:eastAsia="zh-CN"/>
                    </w:rPr>
                    <w:t>公路工程</w:t>
                  </w:r>
                  <w:r>
                    <w:rPr>
                      <w:rFonts w:hint="eastAsia"/>
                      <w:color w:val="auto"/>
                      <w:sz w:val="21"/>
                      <w:szCs w:val="21"/>
                      <w:highlight w:val="none"/>
                    </w:rPr>
                    <w:t>，</w:t>
                  </w:r>
                  <w:r>
                    <w:rPr>
                      <w:color w:val="auto"/>
                      <w:sz w:val="21"/>
                      <w:szCs w:val="21"/>
                      <w:highlight w:val="none"/>
                    </w:rPr>
                    <w:t>施工期</w:t>
                  </w:r>
                  <w:r>
                    <w:rPr>
                      <w:bCs/>
                      <w:color w:val="auto"/>
                      <w:sz w:val="21"/>
                      <w:szCs w:val="21"/>
                      <w:highlight w:val="none"/>
                    </w:rPr>
                    <w:t>防渗</w:t>
                  </w:r>
                  <w:r>
                    <w:rPr>
                      <w:color w:val="auto"/>
                      <w:sz w:val="21"/>
                      <w:szCs w:val="21"/>
                      <w:highlight w:val="none"/>
                    </w:rPr>
                    <w:t>旱厕施工结束后拆除，对施工产生的施工废水进行处理达标后循</w:t>
                  </w:r>
                  <w:r>
                    <w:rPr>
                      <w:rFonts w:hint="eastAsia"/>
                      <w:color w:val="auto"/>
                      <w:sz w:val="21"/>
                      <w:szCs w:val="21"/>
                      <w:highlight w:val="none"/>
                    </w:rPr>
                    <w:t>环使用</w:t>
                  </w:r>
                  <w:r>
                    <w:rPr>
                      <w:color w:val="auto"/>
                      <w:sz w:val="21"/>
                      <w:szCs w:val="21"/>
                      <w:highlight w:val="none"/>
                    </w:rPr>
                    <w:t>。</w:t>
                  </w:r>
                  <w:r>
                    <w:rPr>
                      <w:rFonts w:hint="eastAsia"/>
                      <w:color w:val="auto"/>
                      <w:sz w:val="21"/>
                      <w:szCs w:val="21"/>
                      <w:highlight w:val="none"/>
                    </w:rPr>
                    <w:t>对周围环境影响较小，且不会导致地表水环境功能区发生变化，符合水环境分区管控要求</w:t>
                  </w:r>
                  <w:r>
                    <w:rPr>
                      <w:rFonts w:hint="eastAsia"/>
                      <w:color w:val="auto"/>
                      <w:sz w:val="21"/>
                      <w:szCs w:val="21"/>
                      <w:highlight w:val="none"/>
                      <w:lang w:eastAsia="zh-CN"/>
                    </w:rPr>
                    <w:t>。</w:t>
                  </w:r>
                  <w:r>
                    <w:rPr>
                      <w:color w:val="auto"/>
                      <w:sz w:val="21"/>
                      <w:szCs w:val="21"/>
                      <w:highlight w:val="none"/>
                    </w:rPr>
                    <w:t>本项目不会对区域环境质量底线造成冲击。</w:t>
                  </w:r>
                </w:p>
              </w:tc>
            </w:tr>
          </w:tbl>
          <w:p w14:paraId="0E791741">
            <w:pPr>
              <w:autoSpaceDE w:val="0"/>
              <w:autoSpaceDN w:val="0"/>
              <w:adjustRightInd w:val="0"/>
              <w:snapToGrid w:val="0"/>
              <w:spacing w:line="480" w:lineRule="exact"/>
              <w:ind w:firstLine="480"/>
              <w:rPr>
                <w:color w:val="auto"/>
                <w:highlight w:val="none"/>
              </w:rPr>
            </w:pPr>
            <w:r>
              <w:rPr>
                <w:rFonts w:hint="eastAsia"/>
                <w:color w:val="auto"/>
                <w:highlight w:val="none"/>
              </w:rPr>
              <w:t>（3）资源利用上线</w:t>
            </w:r>
          </w:p>
          <w:p w14:paraId="1728E37E">
            <w:pPr>
              <w:autoSpaceDE w:val="0"/>
              <w:autoSpaceDN w:val="0"/>
              <w:adjustRightInd w:val="0"/>
              <w:snapToGrid w:val="0"/>
              <w:spacing w:line="480" w:lineRule="exact"/>
              <w:ind w:firstLine="480"/>
              <w:rPr>
                <w:color w:val="auto"/>
                <w:highlight w:val="none"/>
              </w:rPr>
            </w:pPr>
            <w:r>
              <w:rPr>
                <w:rFonts w:hint="eastAsia"/>
                <w:color w:val="auto"/>
                <w:highlight w:val="none"/>
              </w:rPr>
              <w:t>本项目占用资源为土地，建设用地指标满足《公路工程项目建设用地指标》（建标[2011]124号），已避开基本农田，集约土地资源，并对工程永久占地土地表土剥离保存、集中收集、合理堆放、恢复利用等。</w:t>
            </w:r>
          </w:p>
          <w:p w14:paraId="0452C2DB">
            <w:pPr>
              <w:autoSpaceDE w:val="0"/>
              <w:autoSpaceDN w:val="0"/>
              <w:adjustRightInd w:val="0"/>
              <w:snapToGrid w:val="0"/>
              <w:spacing w:line="480" w:lineRule="exact"/>
              <w:ind w:firstLine="480"/>
              <w:rPr>
                <w:color w:val="auto"/>
                <w:highlight w:val="none"/>
              </w:rPr>
            </w:pPr>
            <w:r>
              <w:rPr>
                <w:rFonts w:hint="eastAsia"/>
                <w:color w:val="auto"/>
                <w:highlight w:val="none"/>
              </w:rPr>
              <w:t>（4）生态环境准入清单</w:t>
            </w:r>
          </w:p>
          <w:p w14:paraId="4D91D22B">
            <w:pPr>
              <w:adjustRightInd w:val="0"/>
              <w:snapToGrid w:val="0"/>
              <w:spacing w:line="480" w:lineRule="exact"/>
              <w:ind w:firstLine="480"/>
              <w:rPr>
                <w:color w:val="auto"/>
                <w:highlight w:val="none"/>
              </w:rPr>
            </w:pPr>
            <w:r>
              <w:rPr>
                <w:rFonts w:hint="eastAsia"/>
                <w:color w:val="auto"/>
                <w:highlight w:val="none"/>
              </w:rPr>
              <w:t>根据</w:t>
            </w:r>
            <w:r>
              <w:rPr>
                <w:rFonts w:hint="default" w:ascii="Times New Roman" w:hAnsi="Times New Roman" w:cs="Times New Roman"/>
                <w:color w:val="auto"/>
                <w:sz w:val="24"/>
                <w:highlight w:val="none"/>
                <w:lang w:bidi="ar"/>
              </w:rPr>
              <w:t>《</w:t>
            </w:r>
            <w:r>
              <w:rPr>
                <w:rFonts w:hint="eastAsia" w:cs="Times New Roman"/>
                <w:color w:val="auto"/>
                <w:sz w:val="24"/>
                <w:highlight w:val="none"/>
                <w:lang w:val="en-US" w:eastAsia="zh-CN" w:bidi="ar"/>
              </w:rPr>
              <w:t>绥化市</w:t>
            </w:r>
            <w:r>
              <w:rPr>
                <w:rFonts w:hint="default" w:ascii="Times New Roman" w:hAnsi="Times New Roman" w:cs="Times New Roman"/>
                <w:color w:val="auto"/>
                <w:sz w:val="24"/>
                <w:highlight w:val="none"/>
                <w:lang w:bidi="ar"/>
              </w:rPr>
              <w:t>生态环境准入清单》</w:t>
            </w:r>
            <w:r>
              <w:rPr>
                <w:rFonts w:hint="eastAsia" w:cs="Times New Roman"/>
                <w:color w:val="auto"/>
                <w:sz w:val="24"/>
                <w:highlight w:val="none"/>
                <w:lang w:eastAsia="zh-CN" w:bidi="ar"/>
              </w:rPr>
              <w:t>（</w:t>
            </w:r>
            <w:r>
              <w:rPr>
                <w:rFonts w:hint="eastAsia" w:cs="Times New Roman"/>
                <w:color w:val="auto"/>
                <w:sz w:val="24"/>
                <w:highlight w:val="none"/>
                <w:lang w:val="en-US" w:eastAsia="zh-CN" w:bidi="ar"/>
              </w:rPr>
              <w:t>2023版）</w:t>
            </w:r>
            <w:r>
              <w:rPr>
                <w:rFonts w:hint="eastAsia"/>
                <w:color w:val="auto"/>
                <w:highlight w:val="none"/>
              </w:rPr>
              <w:t>，本项目与“生态环境分区管控”符合性分析如下：</w:t>
            </w:r>
          </w:p>
          <w:p w14:paraId="4936F258">
            <w:pPr>
              <w:adjustRightInd w:val="0"/>
              <w:snapToGrid w:val="0"/>
              <w:spacing w:line="480" w:lineRule="exact"/>
              <w:ind w:firstLine="0" w:firstLineChars="0"/>
              <w:jc w:val="center"/>
              <w:rPr>
                <w:b/>
                <w:color w:val="auto"/>
                <w:highlight w:val="yellow"/>
              </w:rPr>
            </w:pPr>
            <w:r>
              <w:rPr>
                <w:b/>
                <w:color w:val="auto"/>
                <w:highlight w:val="yellow"/>
              </w:rPr>
              <w:t>表1-</w:t>
            </w:r>
            <w:r>
              <w:rPr>
                <w:rFonts w:hint="eastAsia"/>
                <w:b/>
                <w:color w:val="auto"/>
                <w:highlight w:val="yellow"/>
                <w:lang w:val="en-US" w:eastAsia="zh-CN"/>
              </w:rPr>
              <w:t>3</w:t>
            </w:r>
            <w:r>
              <w:rPr>
                <w:b/>
                <w:color w:val="auto"/>
                <w:highlight w:val="yellow"/>
              </w:rPr>
              <w:t>生态环境准入清单管控要求符合性分析</w:t>
            </w:r>
          </w:p>
          <w:tbl>
            <w:tblPr>
              <w:tblStyle w:val="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3"/>
              <w:gridCol w:w="783"/>
              <w:gridCol w:w="700"/>
              <w:gridCol w:w="584"/>
              <w:gridCol w:w="4281"/>
              <w:gridCol w:w="994"/>
            </w:tblGrid>
            <w:tr w14:paraId="788C7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08" w:type="pct"/>
                  <w:shd w:val="clear" w:color="auto" w:fill="auto"/>
                  <w:vAlign w:val="center"/>
                </w:tcPr>
                <w:p w14:paraId="675EF1DA">
                  <w:pPr>
                    <w:adjustRightInd w:val="0"/>
                    <w:snapToGrid w:val="0"/>
                    <w:spacing w:line="240" w:lineRule="auto"/>
                    <w:ind w:firstLine="0" w:firstLineChars="0"/>
                    <w:jc w:val="center"/>
                    <w:rPr>
                      <w:color w:val="auto"/>
                      <w:sz w:val="21"/>
                      <w:szCs w:val="21"/>
                      <w:highlight w:val="none"/>
                    </w:rPr>
                  </w:pPr>
                  <w:r>
                    <w:rPr>
                      <w:color w:val="auto"/>
                      <w:sz w:val="21"/>
                      <w:szCs w:val="21"/>
                      <w:highlight w:val="none"/>
                    </w:rPr>
                    <w:t>环境管控单元编码</w:t>
                  </w:r>
                </w:p>
              </w:tc>
              <w:tc>
                <w:tcPr>
                  <w:tcW w:w="500" w:type="pct"/>
                  <w:shd w:val="clear" w:color="auto" w:fill="auto"/>
                  <w:vAlign w:val="center"/>
                </w:tcPr>
                <w:p w14:paraId="013E4A39">
                  <w:pPr>
                    <w:adjustRightInd w:val="0"/>
                    <w:snapToGrid w:val="0"/>
                    <w:spacing w:line="240" w:lineRule="auto"/>
                    <w:ind w:firstLine="0" w:firstLineChars="0"/>
                    <w:jc w:val="center"/>
                    <w:rPr>
                      <w:color w:val="auto"/>
                      <w:sz w:val="21"/>
                      <w:szCs w:val="21"/>
                      <w:highlight w:val="none"/>
                    </w:rPr>
                  </w:pPr>
                  <w:r>
                    <w:rPr>
                      <w:color w:val="auto"/>
                      <w:sz w:val="21"/>
                      <w:szCs w:val="21"/>
                      <w:highlight w:val="none"/>
                    </w:rPr>
                    <w:t>环境管控单元名称</w:t>
                  </w:r>
                </w:p>
              </w:tc>
              <w:tc>
                <w:tcPr>
                  <w:tcW w:w="447" w:type="pct"/>
                  <w:shd w:val="clear" w:color="auto" w:fill="auto"/>
                  <w:vAlign w:val="center"/>
                </w:tcPr>
                <w:p w14:paraId="08221354">
                  <w:pPr>
                    <w:adjustRightInd w:val="0"/>
                    <w:snapToGrid w:val="0"/>
                    <w:spacing w:line="240" w:lineRule="auto"/>
                    <w:ind w:firstLine="0" w:firstLineChars="0"/>
                    <w:jc w:val="center"/>
                    <w:rPr>
                      <w:color w:val="auto"/>
                      <w:sz w:val="21"/>
                      <w:szCs w:val="21"/>
                      <w:highlight w:val="none"/>
                    </w:rPr>
                  </w:pPr>
                  <w:r>
                    <w:rPr>
                      <w:color w:val="auto"/>
                      <w:sz w:val="21"/>
                      <w:szCs w:val="21"/>
                      <w:highlight w:val="none"/>
                    </w:rPr>
                    <w:t>管控单元类别</w:t>
                  </w:r>
                </w:p>
              </w:tc>
              <w:tc>
                <w:tcPr>
                  <w:tcW w:w="3108" w:type="pct"/>
                  <w:gridSpan w:val="2"/>
                  <w:shd w:val="clear" w:color="auto" w:fill="auto"/>
                  <w:vAlign w:val="center"/>
                </w:tcPr>
                <w:p w14:paraId="15E0A336">
                  <w:pPr>
                    <w:adjustRightInd w:val="0"/>
                    <w:snapToGrid w:val="0"/>
                    <w:spacing w:line="240" w:lineRule="auto"/>
                    <w:ind w:firstLine="0" w:firstLineChars="0"/>
                    <w:jc w:val="center"/>
                    <w:rPr>
                      <w:color w:val="auto"/>
                      <w:sz w:val="21"/>
                      <w:szCs w:val="21"/>
                      <w:highlight w:val="none"/>
                    </w:rPr>
                  </w:pPr>
                  <w:r>
                    <w:rPr>
                      <w:color w:val="auto"/>
                      <w:sz w:val="21"/>
                      <w:szCs w:val="21"/>
                      <w:highlight w:val="none"/>
                    </w:rPr>
                    <w:t>管控要求</w:t>
                  </w:r>
                </w:p>
              </w:tc>
              <w:tc>
                <w:tcPr>
                  <w:tcW w:w="635" w:type="pct"/>
                  <w:shd w:val="clear" w:color="auto" w:fill="auto"/>
                  <w:vAlign w:val="center"/>
                </w:tcPr>
                <w:p w14:paraId="7BB48735">
                  <w:pPr>
                    <w:adjustRightInd w:val="0"/>
                    <w:snapToGrid w:val="0"/>
                    <w:spacing w:line="240" w:lineRule="auto"/>
                    <w:ind w:firstLine="0" w:firstLineChars="0"/>
                    <w:jc w:val="center"/>
                    <w:rPr>
                      <w:color w:val="auto"/>
                      <w:sz w:val="21"/>
                      <w:szCs w:val="21"/>
                      <w:highlight w:val="none"/>
                    </w:rPr>
                  </w:pPr>
                  <w:r>
                    <w:rPr>
                      <w:color w:val="auto"/>
                      <w:sz w:val="21"/>
                      <w:szCs w:val="21"/>
                      <w:highlight w:val="none"/>
                    </w:rPr>
                    <w:t>符合性分析</w:t>
                  </w:r>
                </w:p>
              </w:tc>
            </w:tr>
            <w:tr w14:paraId="1BA93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29" w:hRule="atLeast"/>
              </w:trPr>
              <w:tc>
                <w:tcPr>
                  <w:tcW w:w="308" w:type="pct"/>
                  <w:vMerge w:val="restart"/>
                  <w:shd w:val="clear" w:color="auto" w:fill="auto"/>
                  <w:vAlign w:val="center"/>
                </w:tcPr>
                <w:p w14:paraId="332E16CF">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ZH23122220003</w:t>
                  </w:r>
                </w:p>
              </w:tc>
              <w:tc>
                <w:tcPr>
                  <w:tcW w:w="500" w:type="pct"/>
                  <w:vMerge w:val="restart"/>
                  <w:shd w:val="clear" w:color="auto" w:fill="auto"/>
                  <w:vAlign w:val="center"/>
                </w:tcPr>
                <w:p w14:paraId="7DB25774">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兰西县水环境农业污染重点管控区</w:t>
                  </w:r>
                </w:p>
              </w:tc>
              <w:tc>
                <w:tcPr>
                  <w:tcW w:w="447" w:type="pct"/>
                  <w:vMerge w:val="restart"/>
                  <w:shd w:val="clear" w:color="auto" w:fill="auto"/>
                  <w:vAlign w:val="center"/>
                </w:tcPr>
                <w:p w14:paraId="5CC5A7F3">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重点管控单元</w:t>
                  </w:r>
                </w:p>
              </w:tc>
              <w:tc>
                <w:tcPr>
                  <w:tcW w:w="373" w:type="pct"/>
                  <w:shd w:val="clear" w:color="auto" w:fill="auto"/>
                  <w:vAlign w:val="center"/>
                </w:tcPr>
                <w:p w14:paraId="4C0E5711">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空间布局约束</w:t>
                  </w:r>
                </w:p>
              </w:tc>
              <w:tc>
                <w:tcPr>
                  <w:tcW w:w="2735" w:type="pct"/>
                  <w:shd w:val="clear" w:color="auto" w:fill="auto"/>
                  <w:vAlign w:val="center"/>
                </w:tcPr>
                <w:p w14:paraId="5C35EB88">
                  <w:pPr>
                    <w:adjustRightInd w:val="0"/>
                    <w:snapToGrid w:val="0"/>
                    <w:spacing w:line="240" w:lineRule="auto"/>
                    <w:ind w:firstLine="0" w:firstLineChars="0"/>
                    <w:jc w:val="both"/>
                    <w:rPr>
                      <w:rFonts w:hint="eastAsia"/>
                      <w:color w:val="auto"/>
                      <w:sz w:val="21"/>
                      <w:szCs w:val="21"/>
                      <w:highlight w:val="none"/>
                    </w:rPr>
                  </w:pPr>
                  <w:r>
                    <w:rPr>
                      <w:rFonts w:hint="eastAsia"/>
                      <w:color w:val="auto"/>
                      <w:sz w:val="21"/>
                      <w:szCs w:val="21"/>
                      <w:highlight w:val="none"/>
                    </w:rPr>
                    <w:t>执行 1.科学划定畜禽养殖禁养区。</w:t>
                  </w:r>
                </w:p>
                <w:p w14:paraId="33C2FAFC">
                  <w:pP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2.加快农业结构调整。松嫩平原和三江平原等地下水易受污染地区优先种植需肥需药量低、环境效益突出的农作物；在西部干旱区发展谷子、高粱等耐旱杂粮种植；在北部四、五积温区开展米豆麦轮作，促进化肥需求低的农作物面积恢复性增长。</w:t>
                  </w:r>
                </w:p>
              </w:tc>
              <w:tc>
                <w:tcPr>
                  <w:tcW w:w="635" w:type="pct"/>
                  <w:vMerge w:val="restart"/>
                  <w:shd w:val="clear" w:color="auto" w:fill="auto"/>
                  <w:vAlign w:val="center"/>
                </w:tcPr>
                <w:p w14:paraId="367A67D4">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本项目为公路项目，施工期生活污水经民宅防渗旱厕后定期清掏外运堆肥处理；施工废水经沉淀池处理回用洒水抑尘；运营期路面径流通过路面漫流汇入道路两侧排水沟，对周围环境影响较小。</w:t>
                  </w:r>
                </w:p>
              </w:tc>
            </w:tr>
            <w:tr w14:paraId="70905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97" w:hRule="atLeast"/>
              </w:trPr>
              <w:tc>
                <w:tcPr>
                  <w:tcW w:w="308" w:type="pct"/>
                  <w:vMerge w:val="continue"/>
                  <w:shd w:val="clear" w:color="auto" w:fill="auto"/>
                  <w:vAlign w:val="center"/>
                </w:tcPr>
                <w:p w14:paraId="74034321">
                  <w:pPr>
                    <w:adjustRightInd w:val="0"/>
                    <w:snapToGrid w:val="0"/>
                    <w:spacing w:line="240" w:lineRule="auto"/>
                    <w:ind w:firstLine="0" w:firstLineChars="0"/>
                    <w:jc w:val="center"/>
                    <w:rPr>
                      <w:color w:val="auto"/>
                      <w:sz w:val="21"/>
                      <w:szCs w:val="21"/>
                      <w:highlight w:val="none"/>
                    </w:rPr>
                  </w:pPr>
                </w:p>
              </w:tc>
              <w:tc>
                <w:tcPr>
                  <w:tcW w:w="500" w:type="pct"/>
                  <w:vMerge w:val="continue"/>
                  <w:shd w:val="clear" w:color="auto" w:fill="auto"/>
                  <w:vAlign w:val="center"/>
                </w:tcPr>
                <w:p w14:paraId="39CB1241">
                  <w:pPr>
                    <w:adjustRightInd w:val="0"/>
                    <w:snapToGrid w:val="0"/>
                    <w:spacing w:line="240" w:lineRule="auto"/>
                    <w:ind w:firstLine="0" w:firstLineChars="0"/>
                    <w:jc w:val="center"/>
                    <w:rPr>
                      <w:color w:val="auto"/>
                      <w:sz w:val="21"/>
                      <w:szCs w:val="21"/>
                      <w:highlight w:val="none"/>
                    </w:rPr>
                  </w:pPr>
                </w:p>
              </w:tc>
              <w:tc>
                <w:tcPr>
                  <w:tcW w:w="447" w:type="pct"/>
                  <w:vMerge w:val="continue"/>
                  <w:shd w:val="clear" w:color="auto" w:fill="auto"/>
                  <w:vAlign w:val="center"/>
                </w:tcPr>
                <w:p w14:paraId="72EA9DE8">
                  <w:pPr>
                    <w:adjustRightInd w:val="0"/>
                    <w:snapToGrid w:val="0"/>
                    <w:spacing w:line="240" w:lineRule="auto"/>
                    <w:ind w:firstLine="0" w:firstLineChars="0"/>
                    <w:jc w:val="center"/>
                    <w:rPr>
                      <w:color w:val="auto"/>
                      <w:sz w:val="21"/>
                      <w:szCs w:val="21"/>
                      <w:highlight w:val="none"/>
                    </w:rPr>
                  </w:pPr>
                </w:p>
              </w:tc>
              <w:tc>
                <w:tcPr>
                  <w:tcW w:w="373" w:type="pct"/>
                  <w:shd w:val="clear" w:color="auto" w:fill="auto"/>
                  <w:vAlign w:val="center"/>
                </w:tcPr>
                <w:p w14:paraId="734648AF">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污染物排放管控</w:t>
                  </w:r>
                </w:p>
              </w:tc>
              <w:tc>
                <w:tcPr>
                  <w:tcW w:w="2735" w:type="pct"/>
                  <w:shd w:val="clear" w:color="auto" w:fill="auto"/>
                  <w:vAlign w:val="center"/>
                </w:tcPr>
                <w:p w14:paraId="332278D5">
                  <w:pPr>
                    <w:adjustRightInd w:val="0"/>
                    <w:snapToGrid w:val="0"/>
                    <w:spacing w:line="240" w:lineRule="auto"/>
                    <w:ind w:firstLine="0" w:firstLineChars="0"/>
                    <w:jc w:val="both"/>
                    <w:rPr>
                      <w:rFonts w:hint="eastAsia"/>
                      <w:color w:val="auto"/>
                      <w:sz w:val="21"/>
                      <w:szCs w:val="21"/>
                      <w:highlight w:val="none"/>
                    </w:rPr>
                  </w:pPr>
                  <w:r>
                    <w:rPr>
                      <w:rFonts w:hint="eastAsia"/>
                      <w:color w:val="auto"/>
                      <w:sz w:val="21"/>
                      <w:szCs w:val="21"/>
                      <w:highlight w:val="none"/>
                    </w:rPr>
                    <w:t>执行</w:t>
                  </w:r>
                  <w:r>
                    <w:rPr>
                      <w:rFonts w:hint="eastAsia"/>
                      <w:color w:val="auto"/>
                      <w:sz w:val="21"/>
                      <w:szCs w:val="21"/>
                      <w:highlight w:val="none"/>
                      <w:lang w:val="en-US" w:eastAsia="zh-CN"/>
                    </w:rPr>
                    <w:t>1.</w:t>
                  </w:r>
                  <w:r>
                    <w:rPr>
                      <w:rFonts w:hint="eastAsia"/>
                      <w:color w:val="auto"/>
                      <w:sz w:val="21"/>
                      <w:szCs w:val="21"/>
                      <w:highlight w:val="none"/>
                    </w:rPr>
                    <w:t>支持规模化畜禽养殖场（小区）开展标准化改造和建设，提高畜禽粪污收集和处理机械化水平，实施雨污分流、粪污资源化利用，控制畜禽养殖污染排放。</w:t>
                  </w:r>
                </w:p>
                <w:p w14:paraId="0722D02C">
                  <w:pPr>
                    <w:adjustRightInd w:val="0"/>
                    <w:snapToGrid w:val="0"/>
                    <w:spacing w:line="240" w:lineRule="auto"/>
                    <w:ind w:firstLine="0" w:firstLineChars="0"/>
                    <w:jc w:val="both"/>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畜禽养殖户应当及时对畜禽粪便、污水进行收集、贮存、清运，或者进行无害化处理。县级人民政府应当组织对本行政区域的畜禽散养密集区畜禽粪便、污水进行集中处理利用，督促乡镇人民政府建设或者配备污染防治配套设施。</w:t>
                  </w:r>
                </w:p>
                <w:p w14:paraId="530EAB3D">
                  <w:pP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全面加强农业面源污染防控，科学合理使用农业投入品，提高使用效率，减少农业内源性污染。</w:t>
                  </w:r>
                </w:p>
              </w:tc>
              <w:tc>
                <w:tcPr>
                  <w:tcW w:w="635" w:type="pct"/>
                  <w:vMerge w:val="continue"/>
                  <w:shd w:val="clear" w:color="auto" w:fill="auto"/>
                  <w:vAlign w:val="center"/>
                </w:tcPr>
                <w:p w14:paraId="1C6D24A4">
                  <w:pPr>
                    <w:adjustRightInd w:val="0"/>
                    <w:snapToGrid w:val="0"/>
                    <w:spacing w:line="240" w:lineRule="auto"/>
                    <w:ind w:firstLine="0" w:firstLineChars="0"/>
                    <w:jc w:val="center"/>
                    <w:rPr>
                      <w:b/>
                      <w:color w:val="auto"/>
                      <w:highlight w:val="none"/>
                    </w:rPr>
                  </w:pPr>
                </w:p>
              </w:tc>
            </w:tr>
            <w:tr w14:paraId="49C36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08" w:type="pct"/>
                  <w:shd w:val="clear" w:color="auto" w:fill="auto"/>
                  <w:vAlign w:val="center"/>
                </w:tcPr>
                <w:p w14:paraId="106149F0">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ZH23122230001</w:t>
                  </w:r>
                </w:p>
              </w:tc>
              <w:tc>
                <w:tcPr>
                  <w:tcW w:w="500" w:type="pct"/>
                  <w:shd w:val="clear" w:color="auto" w:fill="auto"/>
                  <w:vAlign w:val="center"/>
                </w:tcPr>
                <w:p w14:paraId="5AB6785B">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兰西县永久基本农田</w:t>
                  </w:r>
                </w:p>
              </w:tc>
              <w:tc>
                <w:tcPr>
                  <w:tcW w:w="447" w:type="pct"/>
                  <w:shd w:val="clear" w:color="auto" w:fill="auto"/>
                  <w:vAlign w:val="center"/>
                </w:tcPr>
                <w:p w14:paraId="03180591">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一般</w:t>
                  </w:r>
                  <w:r>
                    <w:rPr>
                      <w:rFonts w:hint="eastAsia"/>
                      <w:color w:val="auto"/>
                      <w:sz w:val="21"/>
                      <w:szCs w:val="21"/>
                      <w:highlight w:val="none"/>
                    </w:rPr>
                    <w:t>管控单元</w:t>
                  </w:r>
                </w:p>
              </w:tc>
              <w:tc>
                <w:tcPr>
                  <w:tcW w:w="373" w:type="pct"/>
                  <w:shd w:val="clear" w:color="auto" w:fill="auto"/>
                  <w:vAlign w:val="center"/>
                </w:tcPr>
                <w:p w14:paraId="01BC1A47">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资源开发效率要求</w:t>
                  </w:r>
                </w:p>
              </w:tc>
              <w:tc>
                <w:tcPr>
                  <w:tcW w:w="2735" w:type="pct"/>
                  <w:shd w:val="clear" w:color="auto" w:fill="auto"/>
                  <w:vAlign w:val="center"/>
                </w:tcPr>
                <w:p w14:paraId="27D9BF3A">
                  <w:pPr>
                    <w:numPr>
                      <w:ilvl w:val="0"/>
                      <w:numId w:val="0"/>
                    </w:numPr>
                    <w:adjustRightInd w:val="0"/>
                    <w:snapToGrid w:val="0"/>
                    <w:spacing w:line="240" w:lineRule="auto"/>
                    <w:jc w:val="both"/>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永久基本农田一经划定，任何单位和个人不得擅自占用或改变用途。一般建设项目不得占用永久基本农田。</w:t>
                  </w:r>
                </w:p>
                <w:p w14:paraId="347E4C52">
                  <w:pPr>
                    <w:numPr>
                      <w:ilvl w:val="0"/>
                      <w:numId w:val="0"/>
                    </w:numPr>
                    <w:adjustRightInd w:val="0"/>
                    <w:snapToGrid w:val="0"/>
                    <w:spacing w:line="240" w:lineRule="auto"/>
                    <w:jc w:val="both"/>
                    <w:rPr>
                      <w:rFonts w:hint="eastAsia"/>
                      <w:color w:val="auto"/>
                      <w:sz w:val="21"/>
                      <w:szCs w:val="21"/>
                      <w:highlight w:val="none"/>
                    </w:rPr>
                  </w:pPr>
                  <w:r>
                    <w:rPr>
                      <w:rFonts w:hint="eastAsia"/>
                      <w:color w:val="auto"/>
                      <w:sz w:val="21"/>
                      <w:szCs w:val="21"/>
                      <w:highlight w:val="none"/>
                    </w:rPr>
                    <w:t>2.在永久基本农田集中区域，不得新建可能造成土壤污染的建设项目；已经建成的，应当限期关闭拆除。</w:t>
                  </w:r>
                </w:p>
                <w:p w14:paraId="2694B950">
                  <w:pPr>
                    <w:numPr>
                      <w:ilvl w:val="0"/>
                      <w:numId w:val="0"/>
                    </w:numPr>
                    <w:adjustRightInd w:val="0"/>
                    <w:snapToGrid w:val="0"/>
                    <w:spacing w:line="240" w:lineRule="auto"/>
                    <w:jc w:val="both"/>
                    <w:rPr>
                      <w:rFonts w:hint="eastAsia"/>
                      <w:color w:val="auto"/>
                      <w:sz w:val="21"/>
                      <w:szCs w:val="21"/>
                      <w:highlight w:val="none"/>
                    </w:rPr>
                  </w:pPr>
                  <w:r>
                    <w:rPr>
                      <w:rFonts w:hint="eastAsia"/>
                      <w:color w:val="auto"/>
                      <w:sz w:val="21"/>
                      <w:szCs w:val="21"/>
                      <w:highlight w:val="none"/>
                    </w:rPr>
                    <w:t>3.禁止任何单位和个人在基本农田保护区内建窑、建房、建坟、挖砂、采石、采矿、取土、堆放固体废弃物或者进行其他破坏基本农田的活动。</w:t>
                  </w:r>
                </w:p>
                <w:p w14:paraId="3BECAA15">
                  <w:pPr>
                    <w:numPr>
                      <w:ilvl w:val="0"/>
                      <w:numId w:val="0"/>
                    </w:numPr>
                    <w:adjustRightInd w:val="0"/>
                    <w:snapToGrid w:val="0"/>
                    <w:spacing w:line="240" w:lineRule="auto"/>
                    <w:ind w:leftChars="0"/>
                    <w:jc w:val="both"/>
                    <w:rPr>
                      <w:rFonts w:hint="eastAsia"/>
                      <w:color w:val="auto"/>
                      <w:sz w:val="21"/>
                      <w:szCs w:val="21"/>
                      <w:highlight w:val="none"/>
                    </w:rPr>
                  </w:pPr>
                  <w:r>
                    <w:rPr>
                      <w:rFonts w:hint="eastAsia"/>
                      <w:color w:val="auto"/>
                      <w:sz w:val="21"/>
                      <w:szCs w:val="21"/>
                      <w:highlight w:val="none"/>
                      <w:lang w:val="en-US" w:eastAsia="zh-CN"/>
                    </w:rPr>
                    <w:t>4.</w:t>
                  </w:r>
                  <w:r>
                    <w:rPr>
                      <w:rFonts w:hint="eastAsia"/>
                      <w:color w:val="auto"/>
                      <w:sz w:val="21"/>
                      <w:szCs w:val="21"/>
                      <w:highlight w:val="none"/>
                    </w:rPr>
                    <w:t>禁止任何单位和个人占用基本农田发展林果业和挖塘养鱼。</w:t>
                  </w:r>
                </w:p>
                <w:p w14:paraId="044D4890">
                  <w:pPr>
                    <w:numPr>
                      <w:ilvl w:val="0"/>
                      <w:numId w:val="0"/>
                    </w:numPr>
                    <w:adjustRightInd w:val="0"/>
                    <w:snapToGrid w:val="0"/>
                    <w:spacing w:line="240" w:lineRule="auto"/>
                    <w:ind w:leftChars="0"/>
                    <w:jc w:val="both"/>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永久基本农田内不得种植破坏耕作层难以恢复的杨树、桉树、构树等林木，不得种植草坪、草皮等用于绿化装饰的植物，不得种植其他破坏耕作层的植物。</w:t>
                  </w:r>
                </w:p>
                <w:p w14:paraId="2FB9D04E">
                  <w:pPr>
                    <w:numPr>
                      <w:ilvl w:val="0"/>
                      <w:numId w:val="0"/>
                    </w:numPr>
                    <w:adjustRightInd w:val="0"/>
                    <w:snapToGrid w:val="0"/>
                    <w:spacing w:line="240" w:lineRule="auto"/>
                    <w:ind w:leftChars="0"/>
                    <w:jc w:val="both"/>
                    <w:rPr>
                      <w:rFonts w:hint="eastAsia"/>
                      <w:color w:val="auto"/>
                      <w:sz w:val="21"/>
                      <w:szCs w:val="21"/>
                      <w:highlight w:val="none"/>
                    </w:rPr>
                  </w:pPr>
                  <w:r>
                    <w:rPr>
                      <w:rFonts w:hint="eastAsia"/>
                      <w:color w:val="auto"/>
                      <w:sz w:val="21"/>
                      <w:szCs w:val="21"/>
                      <w:highlight w:val="none"/>
                    </w:rPr>
                    <w:t>6.禁止任何单位和个人破坏永久基本农田耕作层。</w:t>
                  </w:r>
                </w:p>
                <w:p w14:paraId="0C20D4FB">
                  <w:pPr>
                    <w:adjustRightInd w:val="0"/>
                    <w:snapToGrid w:val="0"/>
                    <w:spacing w:line="240" w:lineRule="auto"/>
                    <w:ind w:firstLine="0" w:firstLineChars="0"/>
                    <w:jc w:val="both"/>
                    <w:rPr>
                      <w:rFonts w:hint="eastAsia"/>
                      <w:color w:val="auto"/>
                      <w:sz w:val="21"/>
                      <w:szCs w:val="21"/>
                      <w:highlight w:val="none"/>
                    </w:rPr>
                  </w:pPr>
                  <w:r>
                    <w:rPr>
                      <w:rFonts w:hint="eastAsia"/>
                      <w:color w:val="auto"/>
                      <w:sz w:val="21"/>
                      <w:szCs w:val="21"/>
                      <w:highlight w:val="none"/>
                    </w:rPr>
                    <w:t>7.禁止以设施农用地为名违规占用永久基本农田建设休闲旅游、仓储厂房等设施。</w:t>
                  </w:r>
                </w:p>
                <w:p w14:paraId="4A660722">
                  <w:pP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8.禁止向农用地排放重金属或者其他有毒有害物质含量超标的污水、污泥，以及可能造成土壤污染的清淤底泥、尾矿、矿渣等。 位于优先保护单元和重点管控单元内永久基本农田也同时执行此要求。</w:t>
                  </w:r>
                </w:p>
              </w:tc>
              <w:tc>
                <w:tcPr>
                  <w:tcW w:w="635" w:type="pct"/>
                  <w:shd w:val="clear" w:color="auto" w:fill="auto"/>
                  <w:vAlign w:val="center"/>
                </w:tcPr>
                <w:p w14:paraId="77B82716">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本项目为公路</w:t>
                  </w:r>
                  <w:r>
                    <w:rPr>
                      <w:rFonts w:hint="eastAsia"/>
                      <w:color w:val="auto"/>
                      <w:sz w:val="21"/>
                      <w:szCs w:val="21"/>
                      <w:highlight w:val="none"/>
                      <w:lang w:val="en-US" w:eastAsia="zh-CN"/>
                    </w:rPr>
                    <w:t>建设</w:t>
                  </w:r>
                  <w:r>
                    <w:rPr>
                      <w:rFonts w:hint="eastAsia"/>
                      <w:color w:val="auto"/>
                      <w:sz w:val="21"/>
                      <w:szCs w:val="21"/>
                      <w:highlight w:val="none"/>
                    </w:rPr>
                    <w:t>项目，</w:t>
                  </w:r>
                  <w:r>
                    <w:rPr>
                      <w:rFonts w:hint="eastAsia"/>
                      <w:color w:val="auto"/>
                      <w:sz w:val="21"/>
                      <w:szCs w:val="21"/>
                      <w:highlight w:val="none"/>
                      <w:lang w:val="en-US" w:eastAsia="zh-CN"/>
                    </w:rPr>
                    <w:t>未新增占地，占地类型为公路用地。</w:t>
                  </w:r>
                </w:p>
              </w:tc>
            </w:tr>
            <w:tr w14:paraId="2CA32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08" w:type="pct"/>
                  <w:shd w:val="clear" w:color="auto" w:fill="auto"/>
                  <w:vAlign w:val="center"/>
                </w:tcPr>
                <w:p w14:paraId="308AB9F2">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ZH23122230002</w:t>
                  </w:r>
                </w:p>
              </w:tc>
              <w:tc>
                <w:tcPr>
                  <w:tcW w:w="500" w:type="pct"/>
                  <w:shd w:val="clear" w:color="auto" w:fill="auto"/>
                  <w:vAlign w:val="center"/>
                </w:tcPr>
                <w:p w14:paraId="222201E2">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兰西县</w:t>
                  </w:r>
                  <w:r>
                    <w:rPr>
                      <w:rFonts w:hint="eastAsia"/>
                      <w:color w:val="auto"/>
                      <w:sz w:val="21"/>
                      <w:szCs w:val="21"/>
                      <w:highlight w:val="none"/>
                    </w:rPr>
                    <w:t>其他区域</w:t>
                  </w:r>
                </w:p>
              </w:tc>
              <w:tc>
                <w:tcPr>
                  <w:tcW w:w="447" w:type="pct"/>
                  <w:shd w:val="clear" w:color="auto" w:fill="auto"/>
                  <w:vAlign w:val="center"/>
                </w:tcPr>
                <w:p w14:paraId="43FC6414">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一般管控单元</w:t>
                  </w:r>
                </w:p>
              </w:tc>
              <w:tc>
                <w:tcPr>
                  <w:tcW w:w="373" w:type="pct"/>
                  <w:shd w:val="clear" w:color="auto" w:fill="auto"/>
                  <w:vAlign w:val="center"/>
                </w:tcPr>
                <w:p w14:paraId="60FBAABC">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空间布局约束</w:t>
                  </w:r>
                </w:p>
              </w:tc>
              <w:tc>
                <w:tcPr>
                  <w:tcW w:w="2735" w:type="pct"/>
                  <w:shd w:val="clear" w:color="auto" w:fill="auto"/>
                  <w:vAlign w:val="center"/>
                </w:tcPr>
                <w:p w14:paraId="31399BA6">
                  <w:pPr>
                    <w:adjustRightInd w:val="0"/>
                    <w:snapToGrid w:val="0"/>
                    <w:spacing w:line="240" w:lineRule="auto"/>
                    <w:ind w:firstLine="0" w:firstLineChars="0"/>
                    <w:jc w:val="both"/>
                    <w:rPr>
                      <w:rFonts w:hint="eastAsia"/>
                      <w:color w:val="auto"/>
                      <w:sz w:val="21"/>
                      <w:szCs w:val="21"/>
                      <w:highlight w:val="none"/>
                    </w:rPr>
                  </w:pPr>
                  <w:r>
                    <w:rPr>
                      <w:rFonts w:hint="eastAsia"/>
                      <w:color w:val="auto"/>
                      <w:sz w:val="21"/>
                      <w:szCs w:val="21"/>
                      <w:highlight w:val="none"/>
                    </w:rPr>
                    <w:t>执行1.引导工业项目向开发区集中，促进产业集聚、资源集约、绿色发展。</w:t>
                  </w:r>
                </w:p>
                <w:p w14:paraId="06F76096">
                  <w:pPr>
                    <w:adjustRightInd w:val="0"/>
                    <w:snapToGrid w:val="0"/>
                    <w:spacing w:line="240" w:lineRule="auto"/>
                    <w:ind w:firstLine="0" w:firstLineChars="0"/>
                    <w:jc w:val="both"/>
                    <w:rPr>
                      <w:color w:val="auto"/>
                      <w:sz w:val="21"/>
                      <w:szCs w:val="21"/>
                      <w:highlight w:val="none"/>
                    </w:rPr>
                  </w:pPr>
                  <w:r>
                    <w:rPr>
                      <w:rFonts w:hint="eastAsia"/>
                      <w:color w:val="auto"/>
                      <w:sz w:val="21"/>
                      <w:szCs w:val="21"/>
                      <w:highlight w:val="none"/>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635" w:type="pct"/>
                  <w:shd w:val="clear" w:color="auto" w:fill="auto"/>
                  <w:vAlign w:val="center"/>
                </w:tcPr>
                <w:p w14:paraId="37797F33">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本项目为公路项目，符合</w:t>
                  </w:r>
                </w:p>
              </w:tc>
            </w:tr>
          </w:tbl>
          <w:p w14:paraId="773760A8">
            <w:pPr>
              <w:adjustRightInd w:val="0"/>
              <w:snapToGrid w:val="0"/>
              <w:spacing w:line="480" w:lineRule="exact"/>
              <w:ind w:firstLine="480"/>
              <w:rPr>
                <w:color w:val="auto"/>
                <w:highlight w:val="none"/>
              </w:rPr>
            </w:pPr>
            <w:r>
              <w:rPr>
                <w:rFonts w:hint="eastAsia"/>
                <w:color w:val="auto"/>
                <w:highlight w:val="none"/>
              </w:rPr>
              <w:t>综合分析，本项目建设不涉及生态保护红线，不会突破资源利用上线，不会降低区域环境质量底线，本项目满足生态环境准入清单要求。</w:t>
            </w:r>
          </w:p>
          <w:p w14:paraId="0899308F">
            <w:pPr>
              <w:adjustRightInd w:val="0"/>
              <w:snapToGrid w:val="0"/>
              <w:spacing w:line="480" w:lineRule="exact"/>
              <w:ind w:firstLine="480"/>
              <w:rPr>
                <w:color w:val="auto"/>
                <w:highlight w:val="none"/>
              </w:rPr>
            </w:pPr>
          </w:p>
          <w:p w14:paraId="4FE118E9">
            <w:pPr>
              <w:adjustRightInd w:val="0"/>
              <w:snapToGrid w:val="0"/>
              <w:spacing w:line="480" w:lineRule="exact"/>
              <w:ind w:firstLine="480"/>
              <w:rPr>
                <w:color w:val="auto"/>
                <w:highlight w:val="none"/>
              </w:rPr>
            </w:pPr>
          </w:p>
          <w:p w14:paraId="0AE86B35">
            <w:pPr>
              <w:adjustRightInd w:val="0"/>
              <w:snapToGrid w:val="0"/>
              <w:spacing w:line="480" w:lineRule="exact"/>
              <w:ind w:firstLine="480"/>
              <w:rPr>
                <w:color w:val="auto"/>
                <w:highlight w:val="none"/>
              </w:rPr>
            </w:pPr>
          </w:p>
          <w:p w14:paraId="12FC2099">
            <w:pPr>
              <w:autoSpaceDE w:val="0"/>
              <w:autoSpaceDN w:val="0"/>
              <w:ind w:firstLine="480"/>
              <w:rPr>
                <w:color w:val="auto"/>
                <w:highlight w:val="none"/>
              </w:rPr>
            </w:pPr>
          </w:p>
          <w:p w14:paraId="5F641698">
            <w:pPr>
              <w:autoSpaceDE w:val="0"/>
              <w:autoSpaceDN w:val="0"/>
              <w:ind w:firstLine="480"/>
              <w:rPr>
                <w:color w:val="auto"/>
                <w:highlight w:val="none"/>
              </w:rPr>
            </w:pPr>
          </w:p>
          <w:p w14:paraId="2BE1DFDC">
            <w:pPr>
              <w:autoSpaceDE w:val="0"/>
              <w:autoSpaceDN w:val="0"/>
              <w:ind w:firstLine="480"/>
              <w:rPr>
                <w:color w:val="auto"/>
                <w:highlight w:val="none"/>
              </w:rPr>
            </w:pPr>
          </w:p>
        </w:tc>
      </w:tr>
    </w:tbl>
    <w:p w14:paraId="7E31E9A2">
      <w:pPr>
        <w:spacing w:line="240" w:lineRule="auto"/>
        <w:ind w:firstLine="600"/>
        <w:outlineLvl w:val="0"/>
        <w:rPr>
          <w:rFonts w:eastAsia="黑体"/>
          <w:color w:val="auto"/>
          <w:sz w:val="30"/>
          <w:highlight w:val="none"/>
        </w:rPr>
        <w:sectPr>
          <w:footerReference r:id="rId11"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4E02396">
      <w:pPr>
        <w:pStyle w:val="5"/>
        <w:snapToGrid/>
        <w:spacing w:before="0" w:after="0" w:line="360" w:lineRule="auto"/>
        <w:ind w:left="0" w:firstLine="0" w:firstLineChars="0"/>
        <w:jc w:val="center"/>
        <w:rPr>
          <w:b w:val="0"/>
          <w:bCs w:val="0"/>
          <w:color w:val="auto"/>
          <w:highlight w:val="none"/>
        </w:rPr>
      </w:pPr>
      <w:bookmarkStart w:id="6" w:name="_Toc16241"/>
      <w:bookmarkStart w:id="7" w:name="_Toc152588069"/>
      <w:r>
        <w:rPr>
          <w:rFonts w:hint="eastAsia"/>
          <w:b w:val="0"/>
          <w:bCs w:val="0"/>
          <w:color w:val="auto"/>
          <w:highlight w:val="none"/>
        </w:rPr>
        <w:t>二、建设内容</w:t>
      </w:r>
      <w:bookmarkEnd w:id="6"/>
      <w:bookmarkEnd w:id="7"/>
    </w:p>
    <w:tbl>
      <w:tblPr>
        <w:tblStyle w:val="15"/>
        <w:tblW w:w="49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7"/>
      </w:tblGrid>
      <w:tr w14:paraId="3EB32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368" w:type="pct"/>
            <w:vAlign w:val="center"/>
          </w:tcPr>
          <w:p w14:paraId="484A0169">
            <w:pPr>
              <w:ind w:firstLine="0" w:firstLineChars="0"/>
              <w:jc w:val="center"/>
              <w:rPr>
                <w:color w:val="auto"/>
                <w:highlight w:val="none"/>
              </w:rPr>
            </w:pPr>
            <w:r>
              <w:rPr>
                <w:color w:val="auto"/>
                <w:highlight w:val="none"/>
              </w:rPr>
              <w:t>地理位置</w:t>
            </w:r>
          </w:p>
        </w:tc>
        <w:tc>
          <w:tcPr>
            <w:tcW w:w="4632" w:type="pct"/>
            <w:vAlign w:val="center"/>
          </w:tcPr>
          <w:p w14:paraId="5CB44AC5">
            <w:pPr>
              <w:ind w:firstLine="480"/>
              <w:rPr>
                <w:color w:val="auto"/>
                <w:highlight w:val="none"/>
              </w:rPr>
            </w:pPr>
            <w:r>
              <w:rPr>
                <w:color w:val="auto"/>
                <w:highlight w:val="none"/>
              </w:rPr>
              <w:t>本项目位于</w:t>
            </w:r>
            <w:r>
              <w:rPr>
                <w:rFonts w:hint="eastAsia"/>
                <w:color w:val="auto"/>
                <w:highlight w:val="none"/>
              </w:rPr>
              <w:t>黑龙江省</w:t>
            </w:r>
            <w:r>
              <w:rPr>
                <w:rFonts w:hint="eastAsia"/>
                <w:color w:val="auto"/>
                <w:highlight w:val="none"/>
                <w:lang w:val="en-US" w:eastAsia="zh-CN"/>
              </w:rPr>
              <w:t>绥化市兰西县</w:t>
            </w:r>
            <w:r>
              <w:rPr>
                <w:rFonts w:hint="eastAsia"/>
                <w:color w:val="auto"/>
                <w:highlight w:val="none"/>
              </w:rPr>
              <w:t>境内，起点K0+000位于前回春岭屯北侧路口处与旧路顺接，沿旧路继续向南前行，途径前回春岭、鞠家油坊、长荣村、三合屯、双堡村、长江乡、万宝山，终点K18+777位于万宝山南侧，与旧路顺接。路线全长18.777km，三级公路标准，利用旧路提质升级。</w:t>
            </w:r>
            <w:r>
              <w:rPr>
                <w:rFonts w:hint="default" w:ascii="Times New Roman" w:hAnsi="Times New Roman" w:eastAsia="宋体" w:cs="Times New Roman"/>
                <w:color w:val="auto"/>
                <w:sz w:val="24"/>
                <w:szCs w:val="24"/>
                <w:highlight w:val="none"/>
              </w:rPr>
              <w:t>本项目地理位置详见附图1。</w:t>
            </w:r>
          </w:p>
        </w:tc>
      </w:tr>
      <w:tr w14:paraId="7E088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6" w:hRule="atLeast"/>
          <w:jc w:val="center"/>
        </w:trPr>
        <w:tc>
          <w:tcPr>
            <w:tcW w:w="368" w:type="pct"/>
            <w:vAlign w:val="center"/>
          </w:tcPr>
          <w:p w14:paraId="210C35F8">
            <w:pPr>
              <w:ind w:firstLine="0" w:firstLineChars="0"/>
              <w:jc w:val="center"/>
              <w:rPr>
                <w:color w:val="auto"/>
                <w:highlight w:val="none"/>
              </w:rPr>
            </w:pPr>
            <w:r>
              <w:rPr>
                <w:color w:val="auto"/>
                <w:highlight w:val="none"/>
              </w:rPr>
              <w:t>项目组成及规模</w:t>
            </w:r>
          </w:p>
        </w:tc>
        <w:tc>
          <w:tcPr>
            <w:tcW w:w="4632" w:type="pct"/>
            <w:vAlign w:val="center"/>
          </w:tcPr>
          <w:p w14:paraId="3B767F58">
            <w:pPr>
              <w:adjustRightInd w:val="0"/>
              <w:snapToGrid w:val="0"/>
              <w:ind w:firstLine="482"/>
              <w:rPr>
                <w:b/>
                <w:color w:val="auto"/>
                <w:highlight w:val="none"/>
              </w:rPr>
            </w:pPr>
            <w:r>
              <w:rPr>
                <w:b/>
                <w:color w:val="auto"/>
                <w:highlight w:val="none"/>
              </w:rPr>
              <w:t>1、工程建设内容</w:t>
            </w:r>
          </w:p>
          <w:p w14:paraId="783F4382">
            <w:pPr>
              <w:adjustRightInd w:val="0"/>
              <w:snapToGrid w:val="0"/>
              <w:ind w:firstLine="480"/>
              <w:rPr>
                <w:rFonts w:hint="eastAsia"/>
                <w:color w:val="auto"/>
                <w:highlight w:val="none"/>
              </w:rPr>
            </w:pPr>
            <w:r>
              <w:rPr>
                <w:rFonts w:hint="eastAsia"/>
                <w:color w:val="auto"/>
                <w:highlight w:val="none"/>
              </w:rPr>
              <w:t>本项目</w:t>
            </w:r>
            <w:r>
              <w:rPr>
                <w:rFonts w:hint="eastAsia"/>
                <w:color w:val="auto"/>
                <w:highlight w:val="none"/>
                <w:lang w:val="en-US" w:eastAsia="zh-CN"/>
              </w:rPr>
              <w:t>为公路改、扩建项目，</w:t>
            </w:r>
            <w:r>
              <w:rPr>
                <w:rFonts w:hint="eastAsia"/>
                <w:color w:val="auto"/>
                <w:highlight w:val="none"/>
              </w:rPr>
              <w:t>路线全长18.777Km，</w:t>
            </w:r>
            <w:r>
              <w:rPr>
                <w:rFonts w:hint="eastAsia"/>
                <w:color w:val="auto"/>
                <w:highlight w:val="none"/>
                <w:lang w:val="en-US" w:eastAsia="zh-CN"/>
              </w:rPr>
              <w:t>全部</w:t>
            </w:r>
            <w:r>
              <w:rPr>
                <w:rFonts w:hint="eastAsia"/>
                <w:color w:val="auto"/>
                <w:highlight w:val="none"/>
              </w:rPr>
              <w:t>利用旧路提质升级</w:t>
            </w:r>
            <w:r>
              <w:rPr>
                <w:rFonts w:hint="eastAsia"/>
                <w:color w:val="auto"/>
                <w:highlight w:val="none"/>
                <w:lang w:eastAsia="zh-CN"/>
              </w:rPr>
              <w:t>。</w:t>
            </w:r>
            <w:r>
              <w:rPr>
                <w:rFonts w:hint="eastAsia"/>
                <w:color w:val="auto"/>
                <w:highlight w:val="none"/>
                <w:lang w:val="en-US" w:eastAsia="zh-CN"/>
              </w:rPr>
              <w:t>采用三级公路标准，设计速度30</w:t>
            </w:r>
            <w:r>
              <w:rPr>
                <w:color w:val="auto"/>
                <w:highlight w:val="none"/>
              </w:rPr>
              <w:t>km/h</w:t>
            </w:r>
            <w:r>
              <w:rPr>
                <w:rFonts w:hint="eastAsia"/>
                <w:color w:val="auto"/>
                <w:highlight w:val="none"/>
                <w:lang w:eastAsia="zh-CN"/>
              </w:rPr>
              <w:t>，</w:t>
            </w:r>
            <w:r>
              <w:rPr>
                <w:rFonts w:hint="eastAsia"/>
                <w:color w:val="auto"/>
                <w:highlight w:val="none"/>
                <w:lang w:val="en-US" w:eastAsia="zh-CN"/>
              </w:rPr>
              <w:t>双向两车道，水泥混凝土路面，路基宽度采用7.5m。</w:t>
            </w:r>
            <w:r>
              <w:rPr>
                <w:rFonts w:hint="eastAsia"/>
                <w:color w:val="auto"/>
                <w:highlight w:val="none"/>
              </w:rPr>
              <w:t>起点K0+000位于前回春岭屯北侧路口处与旧路顺接，沿旧路继续向南前行，途径前回春岭、鞠家油坊、长荣村、三合屯、双堡村、长江乡、万宝山，终点K18+777位于万宝山南侧，与旧路顺接。</w:t>
            </w:r>
            <w:r>
              <w:rPr>
                <w:rFonts w:hint="eastAsia"/>
                <w:color w:val="auto"/>
                <w:highlight w:val="none"/>
                <w:lang w:val="en-US" w:eastAsia="zh-CN"/>
              </w:rPr>
              <w:t>本项目</w:t>
            </w:r>
            <w:r>
              <w:rPr>
                <w:rFonts w:hint="eastAsia"/>
                <w:color w:val="auto"/>
                <w:highlight w:val="none"/>
              </w:rPr>
              <w:t>共设置小桥17.54m/1座，完全利用；涵洞12道，其中新建钢筋混凝土圆管涵6道</w:t>
            </w:r>
            <w:r>
              <w:rPr>
                <w:rFonts w:hint="eastAsia"/>
                <w:color w:val="auto"/>
                <w:highlight w:val="none"/>
                <w:lang w:eastAsia="zh-CN"/>
              </w:rPr>
              <w:t>，</w:t>
            </w:r>
            <w:r>
              <w:rPr>
                <w:rFonts w:hint="eastAsia"/>
                <w:color w:val="auto"/>
                <w:highlight w:val="none"/>
              </w:rPr>
              <w:t>拆除</w:t>
            </w:r>
            <w:r>
              <w:rPr>
                <w:rFonts w:hint="eastAsia"/>
                <w:color w:val="auto"/>
                <w:highlight w:val="none"/>
                <w:lang w:val="en-US" w:eastAsia="zh-CN"/>
              </w:rPr>
              <w:t>新建</w:t>
            </w:r>
            <w:r>
              <w:rPr>
                <w:rFonts w:hint="eastAsia"/>
                <w:color w:val="auto"/>
                <w:highlight w:val="none"/>
              </w:rPr>
              <w:t>钢筋混凝土圆管涵</w:t>
            </w:r>
            <w:r>
              <w:rPr>
                <w:rFonts w:hint="eastAsia"/>
                <w:color w:val="auto"/>
                <w:highlight w:val="none"/>
                <w:lang w:val="en-US" w:eastAsia="zh-CN"/>
              </w:rPr>
              <w:t>5</w:t>
            </w:r>
            <w:r>
              <w:rPr>
                <w:rFonts w:hint="eastAsia"/>
                <w:color w:val="auto"/>
                <w:highlight w:val="none"/>
              </w:rPr>
              <w:t>道</w:t>
            </w:r>
            <w:r>
              <w:rPr>
                <w:rFonts w:hint="eastAsia"/>
                <w:color w:val="auto"/>
                <w:highlight w:val="none"/>
                <w:lang w:eastAsia="zh-CN"/>
              </w:rPr>
              <w:t>，</w:t>
            </w:r>
            <w:r>
              <w:rPr>
                <w:rFonts w:hint="eastAsia"/>
                <w:color w:val="auto"/>
                <w:highlight w:val="none"/>
              </w:rPr>
              <w:t>拆除</w:t>
            </w:r>
            <w:r>
              <w:rPr>
                <w:rFonts w:hint="eastAsia"/>
                <w:color w:val="auto"/>
                <w:highlight w:val="none"/>
                <w:lang w:val="en-US" w:eastAsia="zh-CN"/>
              </w:rPr>
              <w:t>新建</w:t>
            </w:r>
            <w:r>
              <w:rPr>
                <w:rFonts w:hint="eastAsia"/>
                <w:color w:val="auto"/>
                <w:highlight w:val="none"/>
              </w:rPr>
              <w:t>钢筋混凝土箱涵1道；平面交叉107处，其中与等级公路交叉13处，与等外公路交叉94处。</w:t>
            </w:r>
          </w:p>
          <w:p w14:paraId="1DAED7F0">
            <w:pPr>
              <w:adjustRightInd w:val="0"/>
              <w:snapToGrid w:val="0"/>
              <w:ind w:firstLine="480"/>
              <w:rPr>
                <w:rFonts w:hint="eastAsia"/>
                <w:color w:val="auto"/>
                <w:highlight w:val="none"/>
              </w:rPr>
            </w:pPr>
            <w:r>
              <w:rPr>
                <w:rFonts w:hint="eastAsia"/>
                <w:color w:val="auto"/>
                <w:highlight w:val="none"/>
              </w:rPr>
              <w:t>本项目工程组成一览表见表2</w:t>
            </w:r>
            <w:r>
              <w:rPr>
                <w:color w:val="auto"/>
                <w:highlight w:val="none"/>
              </w:rPr>
              <w:t>-1</w:t>
            </w:r>
            <w:r>
              <w:rPr>
                <w:rFonts w:hint="eastAsia"/>
                <w:color w:val="auto"/>
                <w:highlight w:val="none"/>
              </w:rPr>
              <w:t>。</w:t>
            </w:r>
          </w:p>
          <w:p w14:paraId="1A2F69B9">
            <w:pPr>
              <w:adjustRightInd w:val="0"/>
              <w:snapToGrid w:val="0"/>
              <w:spacing w:line="240" w:lineRule="auto"/>
              <w:ind w:firstLine="0" w:firstLineChars="0"/>
              <w:jc w:val="center"/>
              <w:rPr>
                <w:b/>
                <w:color w:val="auto"/>
                <w:highlight w:val="none"/>
              </w:rPr>
            </w:pPr>
            <w:r>
              <w:rPr>
                <w:b/>
                <w:color w:val="auto"/>
                <w:highlight w:val="none"/>
              </w:rPr>
              <w:t>表2-1  工程组成一览表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83"/>
              <w:gridCol w:w="358"/>
              <w:gridCol w:w="10"/>
              <w:gridCol w:w="880"/>
              <w:gridCol w:w="269"/>
              <w:gridCol w:w="3232"/>
              <w:gridCol w:w="3170"/>
              <w:gridCol w:w="89"/>
            </w:tblGrid>
            <w:tr w14:paraId="1631C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restart"/>
                  <w:vAlign w:val="center"/>
                </w:tcPr>
                <w:p w14:paraId="3F9B5704">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项目</w:t>
                  </w:r>
                </w:p>
              </w:tc>
              <w:tc>
                <w:tcPr>
                  <w:tcW w:w="743" w:type="pct"/>
                  <w:gridSpan w:val="3"/>
                  <w:vMerge w:val="restart"/>
                  <w:vAlign w:val="center"/>
                </w:tcPr>
                <w:p w14:paraId="6477D84B">
                  <w:pPr>
                    <w:spacing w:line="240" w:lineRule="auto"/>
                    <w:ind w:firstLine="0" w:firstLineChars="0"/>
                    <w:jc w:val="center"/>
                    <w:rPr>
                      <w:snapToGrid w:val="0"/>
                      <w:color w:val="auto"/>
                      <w:sz w:val="21"/>
                      <w:szCs w:val="21"/>
                      <w:highlight w:val="none"/>
                    </w:rPr>
                  </w:pPr>
                  <w:r>
                    <w:rPr>
                      <w:snapToGrid w:val="0"/>
                      <w:color w:val="auto"/>
                      <w:sz w:val="21"/>
                      <w:szCs w:val="21"/>
                      <w:highlight w:val="none"/>
                    </w:rPr>
                    <w:t>工程内容</w:t>
                  </w:r>
                </w:p>
              </w:tc>
              <w:tc>
                <w:tcPr>
                  <w:tcW w:w="160" w:type="pct"/>
                  <w:vMerge w:val="restart"/>
                  <w:vAlign w:val="center"/>
                </w:tcPr>
                <w:p w14:paraId="2D7CEF6D">
                  <w:pPr>
                    <w:spacing w:line="240" w:lineRule="auto"/>
                    <w:ind w:firstLine="0" w:firstLineChars="0"/>
                    <w:jc w:val="center"/>
                    <w:rPr>
                      <w:snapToGrid w:val="0"/>
                      <w:color w:val="auto"/>
                      <w:sz w:val="21"/>
                      <w:szCs w:val="21"/>
                      <w:highlight w:val="none"/>
                    </w:rPr>
                  </w:pPr>
                  <w:r>
                    <w:rPr>
                      <w:snapToGrid w:val="0"/>
                      <w:color w:val="auto"/>
                      <w:sz w:val="21"/>
                      <w:szCs w:val="21"/>
                      <w:highlight w:val="none"/>
                    </w:rPr>
                    <w:t>单位</w:t>
                  </w:r>
                </w:p>
              </w:tc>
              <w:tc>
                <w:tcPr>
                  <w:tcW w:w="3866" w:type="pct"/>
                  <w:gridSpan w:val="3"/>
                  <w:vAlign w:val="center"/>
                </w:tcPr>
                <w:p w14:paraId="76DF43DE">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临江至长江公路</w:t>
                  </w:r>
                </w:p>
              </w:tc>
            </w:tr>
            <w:tr w14:paraId="47614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2" w:hRule="atLeast"/>
                <w:jc w:val="center"/>
              </w:trPr>
              <w:tc>
                <w:tcPr>
                  <w:tcW w:w="229" w:type="pct"/>
                  <w:vMerge w:val="continue"/>
                  <w:vAlign w:val="center"/>
                </w:tcPr>
                <w:p w14:paraId="1721C5BC">
                  <w:pPr>
                    <w:spacing w:line="240" w:lineRule="auto"/>
                    <w:ind w:firstLine="0" w:firstLineChars="0"/>
                    <w:jc w:val="center"/>
                    <w:rPr>
                      <w:snapToGrid w:val="0"/>
                      <w:color w:val="auto"/>
                      <w:sz w:val="21"/>
                      <w:szCs w:val="21"/>
                      <w:highlight w:val="none"/>
                    </w:rPr>
                  </w:pPr>
                </w:p>
              </w:tc>
              <w:tc>
                <w:tcPr>
                  <w:tcW w:w="743" w:type="pct"/>
                  <w:gridSpan w:val="3"/>
                  <w:vMerge w:val="continue"/>
                  <w:vAlign w:val="center"/>
                </w:tcPr>
                <w:p w14:paraId="1BF2E82A">
                  <w:pPr>
                    <w:spacing w:line="240" w:lineRule="auto"/>
                    <w:ind w:firstLine="0" w:firstLineChars="0"/>
                    <w:jc w:val="center"/>
                    <w:rPr>
                      <w:snapToGrid w:val="0"/>
                      <w:color w:val="auto"/>
                      <w:sz w:val="21"/>
                      <w:szCs w:val="21"/>
                      <w:highlight w:val="none"/>
                    </w:rPr>
                  </w:pPr>
                </w:p>
              </w:tc>
              <w:tc>
                <w:tcPr>
                  <w:tcW w:w="160" w:type="pct"/>
                  <w:vMerge w:val="continue"/>
                  <w:vAlign w:val="center"/>
                </w:tcPr>
                <w:p w14:paraId="5B4EE89F">
                  <w:pPr>
                    <w:spacing w:line="240" w:lineRule="auto"/>
                    <w:ind w:firstLine="0" w:firstLineChars="0"/>
                    <w:jc w:val="center"/>
                    <w:rPr>
                      <w:snapToGrid w:val="0"/>
                      <w:color w:val="auto"/>
                      <w:sz w:val="21"/>
                      <w:szCs w:val="21"/>
                      <w:highlight w:val="none"/>
                    </w:rPr>
                  </w:pPr>
                </w:p>
              </w:tc>
              <w:tc>
                <w:tcPr>
                  <w:tcW w:w="1925" w:type="pct"/>
                  <w:vAlign w:val="center"/>
                </w:tcPr>
                <w:p w14:paraId="0167D99E">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改扩建前</w:t>
                  </w:r>
                </w:p>
              </w:tc>
              <w:tc>
                <w:tcPr>
                  <w:tcW w:w="1940" w:type="pct"/>
                  <w:gridSpan w:val="2"/>
                  <w:vAlign w:val="center"/>
                </w:tcPr>
                <w:p w14:paraId="3C4CE980">
                  <w:pPr>
                    <w:spacing w:line="240" w:lineRule="auto"/>
                    <w:ind w:firstLine="0" w:firstLineChars="0"/>
                    <w:jc w:val="center"/>
                    <w:rPr>
                      <w:rFonts w:hint="default"/>
                      <w:snapToGrid w:val="0"/>
                      <w:color w:val="auto"/>
                      <w:sz w:val="21"/>
                      <w:szCs w:val="21"/>
                      <w:highlight w:val="none"/>
                      <w:lang w:val="en-US"/>
                    </w:rPr>
                  </w:pPr>
                  <w:r>
                    <w:rPr>
                      <w:rFonts w:hint="eastAsia"/>
                      <w:snapToGrid w:val="0"/>
                      <w:color w:val="auto"/>
                      <w:sz w:val="21"/>
                      <w:szCs w:val="21"/>
                      <w:highlight w:val="none"/>
                      <w:lang w:val="en-US" w:eastAsia="zh-CN"/>
                    </w:rPr>
                    <w:t>改扩建后</w:t>
                  </w:r>
                </w:p>
              </w:tc>
            </w:tr>
            <w:tr w14:paraId="50407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restart"/>
                  <w:vAlign w:val="center"/>
                </w:tcPr>
                <w:p w14:paraId="6D333D14">
                  <w:pPr>
                    <w:spacing w:line="240" w:lineRule="auto"/>
                    <w:ind w:firstLine="0" w:firstLineChars="0"/>
                    <w:jc w:val="center"/>
                    <w:rPr>
                      <w:snapToGrid w:val="0"/>
                      <w:color w:val="auto"/>
                      <w:sz w:val="21"/>
                      <w:szCs w:val="21"/>
                      <w:highlight w:val="none"/>
                    </w:rPr>
                  </w:pPr>
                  <w:r>
                    <w:rPr>
                      <w:snapToGrid w:val="0"/>
                      <w:color w:val="auto"/>
                      <w:sz w:val="21"/>
                      <w:szCs w:val="21"/>
                      <w:highlight w:val="none"/>
                    </w:rPr>
                    <w:t>主体</w:t>
                  </w:r>
                </w:p>
                <w:p w14:paraId="440A8474">
                  <w:pPr>
                    <w:spacing w:line="240" w:lineRule="auto"/>
                    <w:ind w:firstLine="0" w:firstLineChars="0"/>
                    <w:jc w:val="center"/>
                    <w:rPr>
                      <w:snapToGrid w:val="0"/>
                      <w:color w:val="auto"/>
                      <w:sz w:val="21"/>
                      <w:szCs w:val="21"/>
                      <w:highlight w:val="none"/>
                    </w:rPr>
                  </w:pPr>
                  <w:r>
                    <w:rPr>
                      <w:snapToGrid w:val="0"/>
                      <w:color w:val="auto"/>
                      <w:sz w:val="21"/>
                      <w:szCs w:val="21"/>
                      <w:highlight w:val="none"/>
                    </w:rPr>
                    <w:t>工程</w:t>
                  </w:r>
                </w:p>
              </w:tc>
              <w:tc>
                <w:tcPr>
                  <w:tcW w:w="219" w:type="pct"/>
                  <w:gridSpan w:val="2"/>
                  <w:vMerge w:val="restart"/>
                  <w:vAlign w:val="center"/>
                </w:tcPr>
                <w:p w14:paraId="282C5FCF">
                  <w:pPr>
                    <w:spacing w:line="240" w:lineRule="auto"/>
                    <w:ind w:firstLine="0" w:firstLineChars="0"/>
                    <w:jc w:val="center"/>
                    <w:rPr>
                      <w:snapToGrid w:val="0"/>
                      <w:color w:val="auto"/>
                      <w:sz w:val="21"/>
                      <w:szCs w:val="21"/>
                      <w:highlight w:val="none"/>
                    </w:rPr>
                  </w:pPr>
                  <w:r>
                    <w:rPr>
                      <w:snapToGrid w:val="0"/>
                      <w:color w:val="auto"/>
                      <w:sz w:val="21"/>
                      <w:szCs w:val="21"/>
                      <w:highlight w:val="none"/>
                    </w:rPr>
                    <w:t>路基</w:t>
                  </w:r>
                </w:p>
                <w:p w14:paraId="39E46F29">
                  <w:pPr>
                    <w:spacing w:line="240" w:lineRule="auto"/>
                    <w:ind w:firstLine="0" w:firstLineChars="0"/>
                    <w:jc w:val="center"/>
                    <w:rPr>
                      <w:snapToGrid w:val="0"/>
                      <w:color w:val="auto"/>
                      <w:sz w:val="21"/>
                      <w:szCs w:val="21"/>
                      <w:highlight w:val="none"/>
                    </w:rPr>
                  </w:pPr>
                  <w:r>
                    <w:rPr>
                      <w:snapToGrid w:val="0"/>
                      <w:color w:val="auto"/>
                      <w:sz w:val="21"/>
                      <w:szCs w:val="21"/>
                      <w:highlight w:val="none"/>
                    </w:rPr>
                    <w:t>工程</w:t>
                  </w:r>
                </w:p>
              </w:tc>
              <w:tc>
                <w:tcPr>
                  <w:tcW w:w="523" w:type="pct"/>
                  <w:vAlign w:val="center"/>
                </w:tcPr>
                <w:p w14:paraId="5EA48B76">
                  <w:pPr>
                    <w:spacing w:line="240" w:lineRule="auto"/>
                    <w:ind w:firstLine="0" w:firstLineChars="0"/>
                    <w:jc w:val="center"/>
                    <w:rPr>
                      <w:snapToGrid w:val="0"/>
                      <w:color w:val="auto"/>
                      <w:sz w:val="21"/>
                      <w:szCs w:val="21"/>
                      <w:highlight w:val="none"/>
                    </w:rPr>
                  </w:pPr>
                  <w:r>
                    <w:rPr>
                      <w:snapToGrid w:val="0"/>
                      <w:color w:val="auto"/>
                      <w:sz w:val="21"/>
                      <w:szCs w:val="21"/>
                      <w:highlight w:val="none"/>
                    </w:rPr>
                    <w:t>公路等级</w:t>
                  </w:r>
                </w:p>
              </w:tc>
              <w:tc>
                <w:tcPr>
                  <w:tcW w:w="160" w:type="pct"/>
                  <w:vAlign w:val="center"/>
                </w:tcPr>
                <w:p w14:paraId="2A6A65FB">
                  <w:pPr>
                    <w:spacing w:line="240" w:lineRule="auto"/>
                    <w:ind w:firstLine="0" w:firstLineChars="0"/>
                    <w:jc w:val="center"/>
                    <w:rPr>
                      <w:snapToGrid w:val="0"/>
                      <w:color w:val="auto"/>
                      <w:sz w:val="21"/>
                      <w:szCs w:val="21"/>
                      <w:highlight w:val="none"/>
                    </w:rPr>
                  </w:pPr>
                  <w:r>
                    <w:rPr>
                      <w:snapToGrid w:val="0"/>
                      <w:color w:val="auto"/>
                      <w:sz w:val="21"/>
                      <w:szCs w:val="21"/>
                      <w:highlight w:val="none"/>
                    </w:rPr>
                    <w:t>级</w:t>
                  </w:r>
                </w:p>
              </w:tc>
              <w:tc>
                <w:tcPr>
                  <w:tcW w:w="1925" w:type="pct"/>
                  <w:vAlign w:val="center"/>
                </w:tcPr>
                <w:p w14:paraId="00A4A332">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四级公路标准</w:t>
                  </w:r>
                </w:p>
              </w:tc>
              <w:tc>
                <w:tcPr>
                  <w:tcW w:w="1940" w:type="pct"/>
                  <w:gridSpan w:val="2"/>
                  <w:vAlign w:val="center"/>
                </w:tcPr>
                <w:p w14:paraId="20B8FAD7">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lang w:val="en-US" w:eastAsia="zh-CN"/>
                    </w:rPr>
                    <w:t>三级公路标准</w:t>
                  </w:r>
                </w:p>
              </w:tc>
            </w:tr>
            <w:tr w14:paraId="14088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4DF4C2FE">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3F8F66D6">
                  <w:pPr>
                    <w:spacing w:line="240" w:lineRule="auto"/>
                    <w:ind w:firstLine="0" w:firstLineChars="0"/>
                    <w:jc w:val="center"/>
                    <w:rPr>
                      <w:snapToGrid w:val="0"/>
                      <w:color w:val="auto"/>
                      <w:sz w:val="21"/>
                      <w:szCs w:val="21"/>
                      <w:highlight w:val="none"/>
                    </w:rPr>
                  </w:pPr>
                </w:p>
              </w:tc>
              <w:tc>
                <w:tcPr>
                  <w:tcW w:w="523" w:type="pct"/>
                  <w:vAlign w:val="center"/>
                </w:tcPr>
                <w:p w14:paraId="6A735862">
                  <w:pPr>
                    <w:spacing w:line="240" w:lineRule="auto"/>
                    <w:ind w:firstLine="0" w:firstLineChars="0"/>
                    <w:jc w:val="center"/>
                    <w:rPr>
                      <w:snapToGrid w:val="0"/>
                      <w:color w:val="auto"/>
                      <w:sz w:val="21"/>
                      <w:szCs w:val="21"/>
                      <w:highlight w:val="none"/>
                    </w:rPr>
                  </w:pPr>
                  <w:r>
                    <w:rPr>
                      <w:snapToGrid w:val="0"/>
                      <w:color w:val="auto"/>
                      <w:sz w:val="21"/>
                      <w:szCs w:val="21"/>
                      <w:highlight w:val="none"/>
                    </w:rPr>
                    <w:t>边界线</w:t>
                  </w:r>
                </w:p>
                <w:p w14:paraId="1D6CE43E">
                  <w:pPr>
                    <w:spacing w:line="240" w:lineRule="auto"/>
                    <w:ind w:firstLine="0" w:firstLineChars="0"/>
                    <w:jc w:val="center"/>
                    <w:rPr>
                      <w:snapToGrid w:val="0"/>
                      <w:color w:val="auto"/>
                      <w:sz w:val="21"/>
                      <w:szCs w:val="21"/>
                      <w:highlight w:val="none"/>
                    </w:rPr>
                  </w:pPr>
                  <w:r>
                    <w:rPr>
                      <w:snapToGrid w:val="0"/>
                      <w:color w:val="auto"/>
                      <w:sz w:val="21"/>
                      <w:szCs w:val="21"/>
                      <w:highlight w:val="none"/>
                    </w:rPr>
                    <w:t>宽度</w:t>
                  </w:r>
                </w:p>
              </w:tc>
              <w:tc>
                <w:tcPr>
                  <w:tcW w:w="160" w:type="pct"/>
                  <w:vAlign w:val="center"/>
                </w:tcPr>
                <w:p w14:paraId="63F7B0A3">
                  <w:pPr>
                    <w:spacing w:line="240" w:lineRule="auto"/>
                    <w:ind w:firstLine="0" w:firstLineChars="0"/>
                    <w:jc w:val="center"/>
                    <w:rPr>
                      <w:snapToGrid w:val="0"/>
                      <w:color w:val="auto"/>
                      <w:sz w:val="21"/>
                      <w:szCs w:val="21"/>
                      <w:highlight w:val="none"/>
                    </w:rPr>
                  </w:pPr>
                  <w:r>
                    <w:rPr>
                      <w:snapToGrid w:val="0"/>
                      <w:color w:val="auto"/>
                      <w:sz w:val="21"/>
                      <w:szCs w:val="21"/>
                      <w:highlight w:val="none"/>
                    </w:rPr>
                    <w:t>m</w:t>
                  </w:r>
                </w:p>
              </w:tc>
              <w:tc>
                <w:tcPr>
                  <w:tcW w:w="1925" w:type="pct"/>
                  <w:vAlign w:val="center"/>
                </w:tcPr>
                <w:p w14:paraId="6A232718">
                  <w:pPr>
                    <w:spacing w:line="240" w:lineRule="auto"/>
                    <w:ind w:firstLine="0" w:firstLineChars="0"/>
                    <w:jc w:val="center"/>
                    <w:rPr>
                      <w:rFonts w:hint="default"/>
                      <w:snapToGrid w:val="0"/>
                      <w:color w:val="auto"/>
                      <w:sz w:val="21"/>
                      <w:szCs w:val="21"/>
                      <w:highlight w:val="none"/>
                      <w:lang w:val="en-US" w:eastAsia="zh-CN"/>
                    </w:rPr>
                  </w:pPr>
                  <w:r>
                    <w:rPr>
                      <w:rFonts w:hint="eastAsia"/>
                      <w:snapToGrid w:val="0"/>
                      <w:color w:val="auto"/>
                      <w:sz w:val="21"/>
                      <w:szCs w:val="21"/>
                      <w:highlight w:val="none"/>
                      <w:lang w:val="en-US" w:eastAsia="zh-CN"/>
                    </w:rPr>
                    <w:t>9m~11m</w:t>
                  </w:r>
                </w:p>
              </w:tc>
              <w:tc>
                <w:tcPr>
                  <w:tcW w:w="1940" w:type="pct"/>
                  <w:gridSpan w:val="2"/>
                  <w:vAlign w:val="center"/>
                </w:tcPr>
                <w:p w14:paraId="4DFCB6CB">
                  <w:pPr>
                    <w:spacing w:line="240" w:lineRule="auto"/>
                    <w:ind w:firstLine="0" w:firstLineChars="0"/>
                    <w:jc w:val="center"/>
                    <w:rPr>
                      <w:rFonts w:hint="eastAsia"/>
                      <w:snapToGrid w:val="0"/>
                      <w:color w:val="auto"/>
                      <w:sz w:val="21"/>
                      <w:szCs w:val="21"/>
                      <w:highlight w:val="none"/>
                      <w:lang w:val="en-US" w:eastAsia="zh-CN"/>
                    </w:rPr>
                  </w:pPr>
                  <w:r>
                    <w:rPr>
                      <w:rFonts w:hint="eastAsia"/>
                      <w:snapToGrid w:val="0"/>
                      <w:color w:val="auto"/>
                      <w:sz w:val="21"/>
                      <w:szCs w:val="21"/>
                      <w:highlight w:val="none"/>
                      <w:lang w:val="en-US" w:eastAsia="zh-CN"/>
                    </w:rPr>
                    <w:t>9m~11m</w:t>
                  </w:r>
                </w:p>
              </w:tc>
            </w:tr>
            <w:tr w14:paraId="0D5B3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63F3C583">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20F61393">
                  <w:pPr>
                    <w:spacing w:line="240" w:lineRule="auto"/>
                    <w:ind w:firstLine="0" w:firstLineChars="0"/>
                    <w:jc w:val="center"/>
                    <w:rPr>
                      <w:snapToGrid w:val="0"/>
                      <w:color w:val="auto"/>
                      <w:sz w:val="21"/>
                      <w:szCs w:val="21"/>
                      <w:highlight w:val="none"/>
                    </w:rPr>
                  </w:pPr>
                </w:p>
              </w:tc>
              <w:tc>
                <w:tcPr>
                  <w:tcW w:w="523" w:type="pct"/>
                  <w:vAlign w:val="center"/>
                </w:tcPr>
                <w:p w14:paraId="11756992">
                  <w:pPr>
                    <w:spacing w:line="240" w:lineRule="auto"/>
                    <w:ind w:firstLine="0" w:firstLineChars="0"/>
                    <w:jc w:val="center"/>
                    <w:rPr>
                      <w:snapToGrid w:val="0"/>
                      <w:color w:val="auto"/>
                      <w:sz w:val="21"/>
                      <w:szCs w:val="21"/>
                      <w:highlight w:val="none"/>
                    </w:rPr>
                  </w:pPr>
                  <w:r>
                    <w:rPr>
                      <w:snapToGrid w:val="0"/>
                      <w:color w:val="auto"/>
                      <w:sz w:val="21"/>
                      <w:szCs w:val="21"/>
                      <w:highlight w:val="none"/>
                    </w:rPr>
                    <w:t>路基宽度</w:t>
                  </w:r>
                </w:p>
              </w:tc>
              <w:tc>
                <w:tcPr>
                  <w:tcW w:w="160" w:type="pct"/>
                  <w:vAlign w:val="center"/>
                </w:tcPr>
                <w:p w14:paraId="406C674B">
                  <w:pPr>
                    <w:spacing w:line="240" w:lineRule="auto"/>
                    <w:ind w:firstLine="0" w:firstLineChars="0"/>
                    <w:jc w:val="center"/>
                    <w:rPr>
                      <w:snapToGrid w:val="0"/>
                      <w:color w:val="auto"/>
                      <w:sz w:val="21"/>
                      <w:szCs w:val="21"/>
                      <w:highlight w:val="none"/>
                    </w:rPr>
                  </w:pPr>
                  <w:r>
                    <w:rPr>
                      <w:snapToGrid w:val="0"/>
                      <w:color w:val="auto"/>
                      <w:sz w:val="21"/>
                      <w:szCs w:val="21"/>
                      <w:highlight w:val="none"/>
                    </w:rPr>
                    <w:t>m</w:t>
                  </w:r>
                </w:p>
              </w:tc>
              <w:tc>
                <w:tcPr>
                  <w:tcW w:w="1925" w:type="pct"/>
                  <w:vAlign w:val="center"/>
                </w:tcPr>
                <w:p w14:paraId="193445A9">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yellow"/>
                      <w:lang w:val="en-US" w:eastAsia="zh-CN"/>
                    </w:rPr>
                    <w:t>6~7.5m</w:t>
                  </w:r>
                </w:p>
              </w:tc>
              <w:tc>
                <w:tcPr>
                  <w:tcW w:w="1940" w:type="pct"/>
                  <w:gridSpan w:val="2"/>
                  <w:vAlign w:val="center"/>
                </w:tcPr>
                <w:p w14:paraId="71A9C65C">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7.5m</w:t>
                  </w:r>
                </w:p>
              </w:tc>
            </w:tr>
            <w:tr w14:paraId="531B9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68DF6E83">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29EDD3CA">
                  <w:pPr>
                    <w:spacing w:line="240" w:lineRule="auto"/>
                    <w:ind w:firstLine="0" w:firstLineChars="0"/>
                    <w:jc w:val="center"/>
                    <w:rPr>
                      <w:snapToGrid w:val="0"/>
                      <w:color w:val="auto"/>
                      <w:sz w:val="21"/>
                      <w:szCs w:val="21"/>
                      <w:highlight w:val="none"/>
                    </w:rPr>
                  </w:pPr>
                </w:p>
              </w:tc>
              <w:tc>
                <w:tcPr>
                  <w:tcW w:w="523" w:type="pct"/>
                  <w:vAlign w:val="center"/>
                </w:tcPr>
                <w:p w14:paraId="76D35793">
                  <w:pPr>
                    <w:spacing w:line="240" w:lineRule="auto"/>
                    <w:ind w:firstLine="0" w:firstLineChars="0"/>
                    <w:jc w:val="center"/>
                    <w:rPr>
                      <w:snapToGrid w:val="0"/>
                      <w:color w:val="auto"/>
                      <w:sz w:val="21"/>
                      <w:szCs w:val="21"/>
                      <w:highlight w:val="none"/>
                    </w:rPr>
                  </w:pPr>
                  <w:r>
                    <w:rPr>
                      <w:snapToGrid w:val="0"/>
                      <w:color w:val="auto"/>
                      <w:sz w:val="21"/>
                      <w:szCs w:val="21"/>
                      <w:highlight w:val="none"/>
                    </w:rPr>
                    <w:t>路面结构</w:t>
                  </w:r>
                </w:p>
              </w:tc>
              <w:tc>
                <w:tcPr>
                  <w:tcW w:w="160" w:type="pct"/>
                  <w:vAlign w:val="center"/>
                </w:tcPr>
                <w:p w14:paraId="3D295784">
                  <w:pPr>
                    <w:spacing w:line="240" w:lineRule="auto"/>
                    <w:ind w:firstLine="0" w:firstLineChars="0"/>
                    <w:jc w:val="center"/>
                    <w:rPr>
                      <w:snapToGrid w:val="0"/>
                      <w:color w:val="auto"/>
                      <w:sz w:val="21"/>
                      <w:szCs w:val="21"/>
                      <w:highlight w:val="none"/>
                    </w:rPr>
                  </w:pPr>
                  <w:r>
                    <w:rPr>
                      <w:snapToGrid w:val="0"/>
                      <w:color w:val="auto"/>
                      <w:sz w:val="21"/>
                      <w:szCs w:val="21"/>
                      <w:highlight w:val="none"/>
                    </w:rPr>
                    <w:t>/</w:t>
                  </w:r>
                </w:p>
              </w:tc>
              <w:tc>
                <w:tcPr>
                  <w:tcW w:w="1925" w:type="pct"/>
                  <w:vAlign w:val="center"/>
                </w:tcPr>
                <w:p w14:paraId="5514E755">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水泥混凝土路面</w:t>
                  </w:r>
                </w:p>
              </w:tc>
              <w:tc>
                <w:tcPr>
                  <w:tcW w:w="1940" w:type="pct"/>
                  <w:gridSpan w:val="2"/>
                  <w:vAlign w:val="center"/>
                </w:tcPr>
                <w:p w14:paraId="1614FD69">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lang w:val="en-US" w:eastAsia="zh-CN"/>
                    </w:rPr>
                    <w:t>水泥混凝土路面</w:t>
                  </w:r>
                </w:p>
              </w:tc>
            </w:tr>
            <w:tr w14:paraId="0078F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7D654298">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7E5694B5">
                  <w:pPr>
                    <w:spacing w:line="240" w:lineRule="auto"/>
                    <w:ind w:firstLine="0" w:firstLineChars="0"/>
                    <w:jc w:val="center"/>
                    <w:rPr>
                      <w:snapToGrid w:val="0"/>
                      <w:color w:val="auto"/>
                      <w:sz w:val="21"/>
                      <w:szCs w:val="21"/>
                      <w:highlight w:val="none"/>
                    </w:rPr>
                  </w:pPr>
                </w:p>
              </w:tc>
              <w:tc>
                <w:tcPr>
                  <w:tcW w:w="523" w:type="pct"/>
                  <w:vAlign w:val="center"/>
                </w:tcPr>
                <w:p w14:paraId="7D88BB27">
                  <w:pPr>
                    <w:spacing w:line="240" w:lineRule="auto"/>
                    <w:ind w:firstLine="0" w:firstLineChars="0"/>
                    <w:jc w:val="center"/>
                    <w:rPr>
                      <w:snapToGrid w:val="0"/>
                      <w:color w:val="auto"/>
                      <w:sz w:val="21"/>
                      <w:szCs w:val="21"/>
                      <w:highlight w:val="none"/>
                    </w:rPr>
                  </w:pPr>
                  <w:r>
                    <w:rPr>
                      <w:snapToGrid w:val="0"/>
                      <w:color w:val="auto"/>
                      <w:sz w:val="21"/>
                      <w:szCs w:val="21"/>
                      <w:highlight w:val="none"/>
                    </w:rPr>
                    <w:t>排水</w:t>
                  </w:r>
                </w:p>
              </w:tc>
              <w:tc>
                <w:tcPr>
                  <w:tcW w:w="160" w:type="pct"/>
                  <w:vAlign w:val="center"/>
                </w:tcPr>
                <w:p w14:paraId="23FCD7CF">
                  <w:pPr>
                    <w:spacing w:line="240" w:lineRule="auto"/>
                    <w:ind w:firstLine="0" w:firstLineChars="0"/>
                    <w:jc w:val="center"/>
                    <w:rPr>
                      <w:snapToGrid w:val="0"/>
                      <w:color w:val="auto"/>
                      <w:sz w:val="21"/>
                      <w:szCs w:val="21"/>
                      <w:highlight w:val="none"/>
                    </w:rPr>
                  </w:pPr>
                  <w:r>
                    <w:rPr>
                      <w:snapToGrid w:val="0"/>
                      <w:color w:val="auto"/>
                      <w:sz w:val="21"/>
                      <w:szCs w:val="21"/>
                      <w:highlight w:val="none"/>
                    </w:rPr>
                    <w:t>/</w:t>
                  </w:r>
                </w:p>
              </w:tc>
              <w:tc>
                <w:tcPr>
                  <w:tcW w:w="3866" w:type="pct"/>
                  <w:gridSpan w:val="3"/>
                  <w:vAlign w:val="center"/>
                </w:tcPr>
                <w:p w14:paraId="3B39642D">
                  <w:pPr>
                    <w:spacing w:line="240" w:lineRule="auto"/>
                    <w:ind w:firstLine="0" w:firstLineChars="0"/>
                    <w:jc w:val="left"/>
                    <w:rPr>
                      <w:snapToGrid w:val="0"/>
                      <w:color w:val="auto"/>
                      <w:sz w:val="21"/>
                      <w:szCs w:val="21"/>
                      <w:highlight w:val="none"/>
                    </w:rPr>
                  </w:pPr>
                  <w:r>
                    <w:rPr>
                      <w:rFonts w:hint="eastAsia"/>
                      <w:snapToGrid w:val="0"/>
                      <w:color w:val="auto"/>
                      <w:sz w:val="21"/>
                      <w:szCs w:val="21"/>
                      <w:highlight w:val="none"/>
                      <w:lang w:val="en-US" w:eastAsia="zh-CN"/>
                    </w:rPr>
                    <w:t>现有旧路两侧有土质排水沟，全线贯通。本次设计完全利用现有土质排水沟，部分村屯过境段增设浆砌片石排水沟。</w:t>
                  </w:r>
                </w:p>
              </w:tc>
            </w:tr>
            <w:tr w14:paraId="1E222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4C93243C">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6B773901">
                  <w:pPr>
                    <w:spacing w:line="240" w:lineRule="auto"/>
                    <w:ind w:firstLine="0" w:firstLineChars="0"/>
                    <w:jc w:val="center"/>
                    <w:rPr>
                      <w:snapToGrid w:val="0"/>
                      <w:color w:val="auto"/>
                      <w:sz w:val="21"/>
                      <w:szCs w:val="21"/>
                      <w:highlight w:val="none"/>
                    </w:rPr>
                  </w:pPr>
                </w:p>
              </w:tc>
              <w:tc>
                <w:tcPr>
                  <w:tcW w:w="523" w:type="pct"/>
                  <w:vAlign w:val="center"/>
                </w:tcPr>
                <w:p w14:paraId="6B214EBC">
                  <w:pPr>
                    <w:spacing w:line="240" w:lineRule="auto"/>
                    <w:ind w:firstLine="0" w:firstLineChars="0"/>
                    <w:jc w:val="center"/>
                    <w:rPr>
                      <w:snapToGrid w:val="0"/>
                      <w:color w:val="auto"/>
                      <w:sz w:val="21"/>
                      <w:szCs w:val="21"/>
                      <w:highlight w:val="none"/>
                    </w:rPr>
                  </w:pPr>
                  <w:r>
                    <w:rPr>
                      <w:snapToGrid w:val="0"/>
                      <w:color w:val="auto"/>
                      <w:sz w:val="21"/>
                      <w:szCs w:val="21"/>
                      <w:highlight w:val="none"/>
                    </w:rPr>
                    <w:t>路基防护</w:t>
                  </w:r>
                </w:p>
              </w:tc>
              <w:tc>
                <w:tcPr>
                  <w:tcW w:w="160" w:type="pct"/>
                  <w:vAlign w:val="center"/>
                </w:tcPr>
                <w:p w14:paraId="003BEC05">
                  <w:pPr>
                    <w:spacing w:line="240" w:lineRule="auto"/>
                    <w:ind w:firstLine="0" w:firstLineChars="0"/>
                    <w:jc w:val="center"/>
                    <w:rPr>
                      <w:snapToGrid w:val="0"/>
                      <w:color w:val="auto"/>
                      <w:sz w:val="21"/>
                      <w:szCs w:val="21"/>
                      <w:highlight w:val="none"/>
                    </w:rPr>
                  </w:pPr>
                  <w:r>
                    <w:rPr>
                      <w:snapToGrid w:val="0"/>
                      <w:color w:val="auto"/>
                      <w:sz w:val="21"/>
                      <w:szCs w:val="21"/>
                      <w:highlight w:val="none"/>
                    </w:rPr>
                    <w:t>/</w:t>
                  </w:r>
                </w:p>
              </w:tc>
              <w:tc>
                <w:tcPr>
                  <w:tcW w:w="3866" w:type="pct"/>
                  <w:gridSpan w:val="3"/>
                  <w:vAlign w:val="center"/>
                </w:tcPr>
                <w:p w14:paraId="208B27D1">
                  <w:pPr>
                    <w:spacing w:line="240" w:lineRule="auto"/>
                    <w:ind w:firstLine="0" w:firstLineChars="0"/>
                    <w:jc w:val="left"/>
                    <w:rPr>
                      <w:snapToGrid w:val="0"/>
                      <w:color w:val="auto"/>
                      <w:sz w:val="21"/>
                      <w:szCs w:val="21"/>
                      <w:highlight w:val="none"/>
                    </w:rPr>
                  </w:pPr>
                  <w:r>
                    <w:rPr>
                      <w:rFonts w:hint="eastAsia"/>
                      <w:snapToGrid w:val="0"/>
                      <w:color w:val="auto"/>
                      <w:sz w:val="21"/>
                      <w:szCs w:val="21"/>
                      <w:highlight w:val="none"/>
                    </w:rPr>
                    <w:t>以绿色生物防护为主的防护方案，绿色植物加骨架相结合的防护方案，骨架内土方采用路基范围内种植土进行回填，以利于植被的生长。K5+230-K5+440段路基边缘为鱼塘，需进行河滩路基浆砌片石满铺防护处理。</w:t>
                  </w:r>
                </w:p>
              </w:tc>
            </w:tr>
            <w:tr w14:paraId="7B9BE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0F82235A">
                  <w:pPr>
                    <w:spacing w:line="240" w:lineRule="auto"/>
                    <w:ind w:firstLine="0" w:firstLineChars="0"/>
                    <w:jc w:val="center"/>
                    <w:rPr>
                      <w:color w:val="auto"/>
                      <w:sz w:val="21"/>
                      <w:szCs w:val="21"/>
                      <w:highlight w:val="none"/>
                    </w:rPr>
                  </w:pPr>
                </w:p>
              </w:tc>
              <w:tc>
                <w:tcPr>
                  <w:tcW w:w="219" w:type="pct"/>
                  <w:gridSpan w:val="2"/>
                  <w:vMerge w:val="restart"/>
                  <w:vAlign w:val="center"/>
                </w:tcPr>
                <w:p w14:paraId="1ACA0AC2">
                  <w:pPr>
                    <w:spacing w:line="240" w:lineRule="auto"/>
                    <w:ind w:firstLine="0" w:firstLineChars="0"/>
                    <w:jc w:val="center"/>
                    <w:rPr>
                      <w:snapToGrid w:val="0"/>
                      <w:color w:val="auto"/>
                      <w:sz w:val="21"/>
                      <w:szCs w:val="21"/>
                      <w:highlight w:val="none"/>
                    </w:rPr>
                  </w:pPr>
                  <w:r>
                    <w:rPr>
                      <w:snapToGrid w:val="0"/>
                      <w:color w:val="auto"/>
                      <w:sz w:val="21"/>
                      <w:szCs w:val="21"/>
                      <w:highlight w:val="none"/>
                    </w:rPr>
                    <w:t>桥涵</w:t>
                  </w:r>
                </w:p>
              </w:tc>
              <w:tc>
                <w:tcPr>
                  <w:tcW w:w="523" w:type="pct"/>
                  <w:vAlign w:val="center"/>
                </w:tcPr>
                <w:p w14:paraId="1456DFE5">
                  <w:pPr>
                    <w:spacing w:line="240" w:lineRule="auto"/>
                    <w:ind w:firstLine="0" w:firstLineChars="0"/>
                    <w:jc w:val="center"/>
                    <w:rPr>
                      <w:snapToGrid w:val="0"/>
                      <w:color w:val="auto"/>
                      <w:sz w:val="21"/>
                      <w:szCs w:val="21"/>
                      <w:highlight w:val="none"/>
                    </w:rPr>
                  </w:pPr>
                  <w:r>
                    <w:rPr>
                      <w:snapToGrid w:val="0"/>
                      <w:color w:val="auto"/>
                      <w:sz w:val="21"/>
                      <w:szCs w:val="21"/>
                      <w:highlight w:val="none"/>
                    </w:rPr>
                    <w:t>小桥</w:t>
                  </w:r>
                </w:p>
              </w:tc>
              <w:tc>
                <w:tcPr>
                  <w:tcW w:w="160" w:type="pct"/>
                  <w:vAlign w:val="center"/>
                </w:tcPr>
                <w:p w14:paraId="16AD3C02">
                  <w:pPr>
                    <w:spacing w:line="240" w:lineRule="auto"/>
                    <w:ind w:firstLine="0" w:firstLineChars="0"/>
                    <w:jc w:val="center"/>
                    <w:rPr>
                      <w:snapToGrid w:val="0"/>
                      <w:color w:val="auto"/>
                      <w:sz w:val="21"/>
                      <w:szCs w:val="21"/>
                      <w:highlight w:val="none"/>
                    </w:rPr>
                  </w:pPr>
                  <w:r>
                    <w:rPr>
                      <w:snapToGrid w:val="0"/>
                      <w:color w:val="auto"/>
                      <w:sz w:val="21"/>
                      <w:szCs w:val="21"/>
                      <w:highlight w:val="none"/>
                    </w:rPr>
                    <w:t>座</w:t>
                  </w:r>
                </w:p>
              </w:tc>
              <w:tc>
                <w:tcPr>
                  <w:tcW w:w="3866" w:type="pct"/>
                  <w:gridSpan w:val="3"/>
                  <w:vAlign w:val="center"/>
                </w:tcPr>
                <w:p w14:paraId="4CC7E7D5">
                  <w:pPr>
                    <w:spacing w:line="240" w:lineRule="auto"/>
                    <w:ind w:firstLine="0" w:firstLineChars="0"/>
                    <w:jc w:val="left"/>
                    <w:rPr>
                      <w:snapToGrid w:val="0"/>
                      <w:color w:val="auto"/>
                      <w:sz w:val="21"/>
                      <w:szCs w:val="21"/>
                      <w:highlight w:val="none"/>
                    </w:rPr>
                  </w:pPr>
                  <w:r>
                    <w:rPr>
                      <w:rFonts w:hint="eastAsia"/>
                      <w:snapToGrid w:val="0"/>
                      <w:color w:val="auto"/>
                      <w:sz w:val="21"/>
                      <w:szCs w:val="21"/>
                      <w:highlight w:val="none"/>
                    </w:rPr>
                    <w:t>旧路原有小桥17.54m/1 座，桥梁宽度 7.5m(净宽 6.5+2×0.5m护栏)使用情况良好，完全利用</w:t>
                  </w:r>
                </w:p>
              </w:tc>
            </w:tr>
            <w:tr w14:paraId="0ADD2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72D8D382">
                  <w:pPr>
                    <w:spacing w:line="240" w:lineRule="auto"/>
                    <w:ind w:firstLine="0" w:firstLineChars="0"/>
                    <w:jc w:val="center"/>
                    <w:rPr>
                      <w:color w:val="auto"/>
                      <w:sz w:val="21"/>
                      <w:szCs w:val="21"/>
                      <w:highlight w:val="none"/>
                    </w:rPr>
                  </w:pPr>
                </w:p>
              </w:tc>
              <w:tc>
                <w:tcPr>
                  <w:tcW w:w="219" w:type="pct"/>
                  <w:gridSpan w:val="2"/>
                  <w:vMerge w:val="continue"/>
                  <w:vAlign w:val="center"/>
                </w:tcPr>
                <w:p w14:paraId="18EC4759">
                  <w:pPr>
                    <w:spacing w:line="240" w:lineRule="auto"/>
                    <w:ind w:firstLine="0" w:firstLineChars="0"/>
                    <w:jc w:val="center"/>
                    <w:rPr>
                      <w:color w:val="auto"/>
                      <w:sz w:val="21"/>
                      <w:szCs w:val="21"/>
                      <w:highlight w:val="none"/>
                    </w:rPr>
                  </w:pPr>
                </w:p>
              </w:tc>
              <w:tc>
                <w:tcPr>
                  <w:tcW w:w="523" w:type="pct"/>
                  <w:vAlign w:val="center"/>
                </w:tcPr>
                <w:p w14:paraId="494A368A">
                  <w:pPr>
                    <w:spacing w:line="240" w:lineRule="auto"/>
                    <w:ind w:firstLine="0" w:firstLineChars="0"/>
                    <w:jc w:val="center"/>
                    <w:rPr>
                      <w:snapToGrid w:val="0"/>
                      <w:color w:val="auto"/>
                      <w:sz w:val="21"/>
                      <w:szCs w:val="21"/>
                      <w:highlight w:val="none"/>
                    </w:rPr>
                  </w:pPr>
                  <w:r>
                    <w:rPr>
                      <w:snapToGrid w:val="0"/>
                      <w:color w:val="auto"/>
                      <w:sz w:val="21"/>
                      <w:szCs w:val="21"/>
                      <w:highlight w:val="none"/>
                    </w:rPr>
                    <w:t>涵洞</w:t>
                  </w:r>
                </w:p>
              </w:tc>
              <w:tc>
                <w:tcPr>
                  <w:tcW w:w="160" w:type="pct"/>
                  <w:vAlign w:val="center"/>
                </w:tcPr>
                <w:p w14:paraId="7204DD23">
                  <w:pPr>
                    <w:spacing w:line="240" w:lineRule="auto"/>
                    <w:ind w:firstLine="0" w:firstLineChars="0"/>
                    <w:jc w:val="center"/>
                    <w:rPr>
                      <w:snapToGrid w:val="0"/>
                      <w:color w:val="auto"/>
                      <w:sz w:val="21"/>
                      <w:szCs w:val="21"/>
                      <w:highlight w:val="none"/>
                    </w:rPr>
                  </w:pPr>
                  <w:r>
                    <w:rPr>
                      <w:snapToGrid w:val="0"/>
                      <w:color w:val="auto"/>
                      <w:sz w:val="21"/>
                      <w:szCs w:val="21"/>
                      <w:highlight w:val="none"/>
                    </w:rPr>
                    <w:t>道</w:t>
                  </w:r>
                </w:p>
              </w:tc>
              <w:tc>
                <w:tcPr>
                  <w:tcW w:w="3866" w:type="pct"/>
                  <w:gridSpan w:val="3"/>
                  <w:vAlign w:val="center"/>
                </w:tcPr>
                <w:p w14:paraId="5E87A06F">
                  <w:pPr>
                    <w:spacing w:line="240" w:lineRule="auto"/>
                    <w:ind w:firstLine="0" w:firstLineChars="0"/>
                    <w:jc w:val="left"/>
                    <w:rPr>
                      <w:snapToGrid w:val="0"/>
                      <w:color w:val="auto"/>
                      <w:sz w:val="21"/>
                      <w:szCs w:val="21"/>
                      <w:highlight w:val="none"/>
                    </w:rPr>
                  </w:pPr>
                  <w:r>
                    <w:rPr>
                      <w:rFonts w:hint="eastAsia"/>
                      <w:snapToGrid w:val="0"/>
                      <w:color w:val="auto"/>
                      <w:sz w:val="21"/>
                      <w:szCs w:val="21"/>
                      <w:highlight w:val="none"/>
                    </w:rPr>
                    <w:t>涵洞12道，其中新建圆管涵6道</w:t>
                  </w:r>
                  <w:r>
                    <w:rPr>
                      <w:rFonts w:hint="eastAsia"/>
                      <w:snapToGrid w:val="0"/>
                      <w:color w:val="auto"/>
                      <w:sz w:val="21"/>
                      <w:szCs w:val="21"/>
                      <w:highlight w:val="none"/>
                      <w:lang w:eastAsia="zh-CN"/>
                    </w:rPr>
                    <w:t>，</w:t>
                  </w:r>
                  <w:r>
                    <w:rPr>
                      <w:rFonts w:hint="eastAsia"/>
                      <w:snapToGrid w:val="0"/>
                      <w:color w:val="auto"/>
                      <w:sz w:val="21"/>
                      <w:szCs w:val="21"/>
                      <w:highlight w:val="none"/>
                    </w:rPr>
                    <w:t>拆除</w:t>
                  </w:r>
                  <w:r>
                    <w:rPr>
                      <w:rFonts w:hint="eastAsia"/>
                      <w:snapToGrid w:val="0"/>
                      <w:color w:val="auto"/>
                      <w:sz w:val="21"/>
                      <w:szCs w:val="21"/>
                      <w:highlight w:val="none"/>
                      <w:lang w:eastAsia="zh-CN"/>
                    </w:rPr>
                    <w:t>新建</w:t>
                  </w:r>
                  <w:r>
                    <w:rPr>
                      <w:rFonts w:hint="eastAsia"/>
                      <w:snapToGrid w:val="0"/>
                      <w:color w:val="auto"/>
                      <w:sz w:val="21"/>
                      <w:szCs w:val="21"/>
                      <w:highlight w:val="none"/>
                    </w:rPr>
                    <w:t>圆管涵5道</w:t>
                  </w:r>
                  <w:r>
                    <w:rPr>
                      <w:rFonts w:hint="eastAsia"/>
                      <w:snapToGrid w:val="0"/>
                      <w:color w:val="auto"/>
                      <w:sz w:val="21"/>
                      <w:szCs w:val="21"/>
                      <w:highlight w:val="none"/>
                      <w:lang w:eastAsia="zh-CN"/>
                    </w:rPr>
                    <w:t>、</w:t>
                  </w:r>
                  <w:r>
                    <w:rPr>
                      <w:rFonts w:hint="eastAsia"/>
                      <w:snapToGrid w:val="0"/>
                      <w:color w:val="auto"/>
                      <w:sz w:val="21"/>
                      <w:szCs w:val="21"/>
                      <w:highlight w:val="none"/>
                    </w:rPr>
                    <w:t>箱涵1道；</w:t>
                  </w:r>
                </w:p>
              </w:tc>
            </w:tr>
            <w:tr w14:paraId="0DCF8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28E3269A">
                  <w:pPr>
                    <w:spacing w:line="240" w:lineRule="auto"/>
                    <w:ind w:firstLine="0" w:firstLineChars="0"/>
                    <w:jc w:val="center"/>
                    <w:rPr>
                      <w:color w:val="auto"/>
                      <w:sz w:val="21"/>
                      <w:szCs w:val="21"/>
                      <w:highlight w:val="none"/>
                    </w:rPr>
                  </w:pPr>
                </w:p>
              </w:tc>
              <w:tc>
                <w:tcPr>
                  <w:tcW w:w="219" w:type="pct"/>
                  <w:gridSpan w:val="2"/>
                  <w:vAlign w:val="center"/>
                </w:tcPr>
                <w:p w14:paraId="0C29A6E6">
                  <w:pPr>
                    <w:spacing w:line="240" w:lineRule="auto"/>
                    <w:ind w:firstLine="0" w:firstLineChars="0"/>
                    <w:jc w:val="center"/>
                    <w:rPr>
                      <w:color w:val="auto"/>
                      <w:sz w:val="21"/>
                      <w:szCs w:val="21"/>
                      <w:highlight w:val="none"/>
                    </w:rPr>
                  </w:pPr>
                  <w:r>
                    <w:rPr>
                      <w:snapToGrid w:val="0"/>
                      <w:color w:val="auto"/>
                      <w:sz w:val="21"/>
                      <w:szCs w:val="21"/>
                      <w:highlight w:val="none"/>
                    </w:rPr>
                    <w:t>交叉</w:t>
                  </w:r>
                </w:p>
              </w:tc>
              <w:tc>
                <w:tcPr>
                  <w:tcW w:w="523" w:type="pct"/>
                  <w:vAlign w:val="center"/>
                </w:tcPr>
                <w:p w14:paraId="439FE3FC">
                  <w:pPr>
                    <w:spacing w:line="240" w:lineRule="auto"/>
                    <w:ind w:firstLine="0" w:firstLineChars="0"/>
                    <w:jc w:val="center"/>
                    <w:rPr>
                      <w:snapToGrid w:val="0"/>
                      <w:color w:val="auto"/>
                      <w:sz w:val="21"/>
                      <w:szCs w:val="21"/>
                      <w:highlight w:val="none"/>
                    </w:rPr>
                  </w:pPr>
                  <w:r>
                    <w:rPr>
                      <w:snapToGrid w:val="0"/>
                      <w:color w:val="auto"/>
                      <w:sz w:val="21"/>
                      <w:szCs w:val="21"/>
                      <w:highlight w:val="none"/>
                    </w:rPr>
                    <w:t>平面交叉</w:t>
                  </w:r>
                </w:p>
              </w:tc>
              <w:tc>
                <w:tcPr>
                  <w:tcW w:w="160" w:type="pct"/>
                  <w:vAlign w:val="center"/>
                </w:tcPr>
                <w:p w14:paraId="16F05F61">
                  <w:pPr>
                    <w:spacing w:line="240" w:lineRule="auto"/>
                    <w:ind w:firstLine="0" w:firstLineChars="0"/>
                    <w:jc w:val="center"/>
                    <w:rPr>
                      <w:snapToGrid w:val="0"/>
                      <w:color w:val="auto"/>
                      <w:sz w:val="21"/>
                      <w:szCs w:val="21"/>
                      <w:highlight w:val="none"/>
                    </w:rPr>
                  </w:pPr>
                  <w:r>
                    <w:rPr>
                      <w:snapToGrid w:val="0"/>
                      <w:color w:val="auto"/>
                      <w:sz w:val="21"/>
                      <w:szCs w:val="21"/>
                      <w:highlight w:val="none"/>
                    </w:rPr>
                    <w:t>处</w:t>
                  </w:r>
                </w:p>
              </w:tc>
              <w:tc>
                <w:tcPr>
                  <w:tcW w:w="3866" w:type="pct"/>
                  <w:gridSpan w:val="3"/>
                  <w:vAlign w:val="center"/>
                </w:tcPr>
                <w:p w14:paraId="01FFD184">
                  <w:pPr>
                    <w:spacing w:line="240" w:lineRule="auto"/>
                    <w:ind w:firstLine="0" w:firstLineChars="0"/>
                    <w:jc w:val="left"/>
                    <w:rPr>
                      <w:snapToGrid w:val="0"/>
                      <w:color w:val="auto"/>
                      <w:sz w:val="21"/>
                      <w:szCs w:val="21"/>
                      <w:highlight w:val="none"/>
                    </w:rPr>
                  </w:pPr>
                  <w:r>
                    <w:rPr>
                      <w:rFonts w:hint="eastAsia"/>
                      <w:snapToGrid w:val="0"/>
                      <w:color w:val="auto"/>
                      <w:sz w:val="21"/>
                      <w:szCs w:val="21"/>
                      <w:highlight w:val="none"/>
                    </w:rPr>
                    <w:t>平面交叉107处，其中与等级公路交叉13处，与等外公路交叉94处</w:t>
                  </w:r>
                  <w:r>
                    <w:rPr>
                      <w:rFonts w:hint="eastAsia"/>
                      <w:snapToGrid w:val="0"/>
                      <w:color w:val="auto"/>
                      <w:sz w:val="21"/>
                      <w:szCs w:val="21"/>
                      <w:highlight w:val="none"/>
                      <w:lang w:eastAsia="zh-CN"/>
                    </w:rPr>
                    <w:t>。</w:t>
                  </w:r>
                </w:p>
              </w:tc>
            </w:tr>
            <w:tr w14:paraId="46EAD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07DAC5BE">
                  <w:pPr>
                    <w:spacing w:line="240" w:lineRule="auto"/>
                    <w:ind w:firstLine="0" w:firstLineChars="0"/>
                    <w:jc w:val="center"/>
                    <w:rPr>
                      <w:color w:val="auto"/>
                      <w:sz w:val="21"/>
                      <w:szCs w:val="21"/>
                      <w:highlight w:val="none"/>
                    </w:rPr>
                  </w:pPr>
                </w:p>
              </w:tc>
              <w:tc>
                <w:tcPr>
                  <w:tcW w:w="219" w:type="pct"/>
                  <w:gridSpan w:val="2"/>
                  <w:vMerge w:val="restart"/>
                  <w:vAlign w:val="center"/>
                </w:tcPr>
                <w:p w14:paraId="3BDAC6F6">
                  <w:pPr>
                    <w:spacing w:line="240" w:lineRule="auto"/>
                    <w:ind w:firstLine="0" w:firstLineChars="0"/>
                    <w:jc w:val="center"/>
                    <w:rPr>
                      <w:snapToGrid w:val="0"/>
                      <w:color w:val="auto"/>
                      <w:sz w:val="21"/>
                      <w:szCs w:val="21"/>
                      <w:highlight w:val="none"/>
                    </w:rPr>
                  </w:pPr>
                  <w:r>
                    <w:rPr>
                      <w:snapToGrid w:val="0"/>
                      <w:color w:val="auto"/>
                      <w:sz w:val="21"/>
                      <w:szCs w:val="21"/>
                      <w:highlight w:val="none"/>
                    </w:rPr>
                    <w:t>拆迁</w:t>
                  </w:r>
                </w:p>
              </w:tc>
              <w:tc>
                <w:tcPr>
                  <w:tcW w:w="523" w:type="pct"/>
                  <w:vAlign w:val="center"/>
                </w:tcPr>
                <w:p w14:paraId="4D2E959D">
                  <w:pPr>
                    <w:spacing w:line="240" w:lineRule="auto"/>
                    <w:ind w:firstLine="0" w:firstLineChars="0"/>
                    <w:jc w:val="center"/>
                    <w:rPr>
                      <w:rFonts w:hint="eastAsia" w:eastAsia="宋体"/>
                      <w:snapToGrid w:val="0"/>
                      <w:color w:val="auto"/>
                      <w:sz w:val="21"/>
                      <w:szCs w:val="21"/>
                      <w:highlight w:val="none"/>
                      <w:lang w:eastAsia="zh-CN"/>
                    </w:rPr>
                  </w:pPr>
                  <w:r>
                    <w:rPr>
                      <w:rFonts w:hint="eastAsia"/>
                      <w:snapToGrid w:val="0"/>
                      <w:color w:val="auto"/>
                      <w:sz w:val="21"/>
                      <w:szCs w:val="21"/>
                      <w:highlight w:val="none"/>
                      <w:lang w:val="en-US" w:eastAsia="zh-CN"/>
                    </w:rPr>
                    <w:t>建筑物</w:t>
                  </w:r>
                </w:p>
              </w:tc>
              <w:tc>
                <w:tcPr>
                  <w:tcW w:w="160" w:type="pct"/>
                  <w:vAlign w:val="center"/>
                </w:tcPr>
                <w:p w14:paraId="6FB16297">
                  <w:pPr>
                    <w:spacing w:line="240" w:lineRule="auto"/>
                    <w:ind w:firstLine="0" w:firstLineChars="0"/>
                    <w:jc w:val="center"/>
                    <w:rPr>
                      <w:rFonts w:hint="eastAsia" w:eastAsia="宋体"/>
                      <w:snapToGrid w:val="0"/>
                      <w:color w:val="auto"/>
                      <w:sz w:val="21"/>
                      <w:szCs w:val="21"/>
                      <w:highlight w:val="none"/>
                      <w:lang w:val="en-US" w:eastAsia="zh-CN"/>
                    </w:rPr>
                  </w:pPr>
                  <w:r>
                    <w:rPr>
                      <w:rFonts w:hint="eastAsia"/>
                      <w:snapToGrid w:val="0"/>
                      <w:color w:val="auto"/>
                      <w:sz w:val="21"/>
                      <w:szCs w:val="21"/>
                      <w:highlight w:val="none"/>
                      <w:lang w:val="en-US" w:eastAsia="zh-CN"/>
                    </w:rPr>
                    <w:t>/</w:t>
                  </w:r>
                </w:p>
              </w:tc>
              <w:tc>
                <w:tcPr>
                  <w:tcW w:w="3866" w:type="pct"/>
                  <w:gridSpan w:val="3"/>
                  <w:vAlign w:val="center"/>
                </w:tcPr>
                <w:p w14:paraId="29BD3D01">
                  <w:pPr>
                    <w:spacing w:line="240" w:lineRule="auto"/>
                    <w:ind w:firstLine="0" w:firstLineChars="0"/>
                    <w:jc w:val="left"/>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单柱式标志牌77块，监控6根</w:t>
                  </w:r>
                </w:p>
              </w:tc>
            </w:tr>
            <w:tr w14:paraId="3A6DD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06350256">
                  <w:pPr>
                    <w:spacing w:line="240" w:lineRule="auto"/>
                    <w:ind w:firstLine="0" w:firstLineChars="0"/>
                    <w:jc w:val="center"/>
                    <w:rPr>
                      <w:color w:val="auto"/>
                      <w:sz w:val="21"/>
                      <w:szCs w:val="21"/>
                      <w:highlight w:val="none"/>
                    </w:rPr>
                  </w:pPr>
                </w:p>
              </w:tc>
              <w:tc>
                <w:tcPr>
                  <w:tcW w:w="219" w:type="pct"/>
                  <w:gridSpan w:val="2"/>
                  <w:vMerge w:val="continue"/>
                  <w:vAlign w:val="center"/>
                </w:tcPr>
                <w:p w14:paraId="2534A12C">
                  <w:pPr>
                    <w:spacing w:line="240" w:lineRule="auto"/>
                    <w:ind w:firstLine="0" w:firstLineChars="0"/>
                    <w:jc w:val="center"/>
                    <w:rPr>
                      <w:snapToGrid w:val="0"/>
                      <w:color w:val="auto"/>
                      <w:sz w:val="21"/>
                      <w:szCs w:val="21"/>
                      <w:highlight w:val="none"/>
                    </w:rPr>
                  </w:pPr>
                </w:p>
              </w:tc>
              <w:tc>
                <w:tcPr>
                  <w:tcW w:w="523" w:type="pct"/>
                  <w:vAlign w:val="center"/>
                </w:tcPr>
                <w:p w14:paraId="291AEFEC">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电力、电讯线</w:t>
                  </w:r>
                </w:p>
              </w:tc>
              <w:tc>
                <w:tcPr>
                  <w:tcW w:w="160" w:type="pct"/>
                  <w:vAlign w:val="center"/>
                </w:tcPr>
                <w:p w14:paraId="05AF2D6E">
                  <w:pPr>
                    <w:spacing w:line="240" w:lineRule="auto"/>
                    <w:ind w:firstLine="0" w:firstLineChars="0"/>
                    <w:jc w:val="center"/>
                    <w:rPr>
                      <w:rFonts w:hint="eastAsia" w:eastAsia="宋体"/>
                      <w:snapToGrid w:val="0"/>
                      <w:color w:val="auto"/>
                      <w:sz w:val="21"/>
                      <w:szCs w:val="21"/>
                      <w:highlight w:val="none"/>
                      <w:lang w:val="en-US" w:eastAsia="zh-CN"/>
                    </w:rPr>
                  </w:pPr>
                  <w:r>
                    <w:rPr>
                      <w:rFonts w:hint="eastAsia"/>
                      <w:snapToGrid w:val="0"/>
                      <w:color w:val="auto"/>
                      <w:sz w:val="21"/>
                      <w:szCs w:val="21"/>
                      <w:highlight w:val="none"/>
                      <w:lang w:val="en-US" w:eastAsia="zh-CN"/>
                    </w:rPr>
                    <w:t>/</w:t>
                  </w:r>
                </w:p>
              </w:tc>
              <w:tc>
                <w:tcPr>
                  <w:tcW w:w="3866" w:type="pct"/>
                  <w:gridSpan w:val="3"/>
                  <w:vAlign w:val="center"/>
                </w:tcPr>
                <w:p w14:paraId="10D2E0AC">
                  <w:pPr>
                    <w:spacing w:line="240" w:lineRule="auto"/>
                    <w:ind w:firstLine="0" w:firstLineChars="0"/>
                    <w:jc w:val="left"/>
                    <w:rPr>
                      <w:rFonts w:hint="default" w:eastAsia="宋体"/>
                      <w:snapToGrid w:val="0"/>
                      <w:color w:val="auto"/>
                      <w:sz w:val="21"/>
                      <w:szCs w:val="21"/>
                      <w:highlight w:val="none"/>
                      <w:lang w:val="en-US" w:eastAsia="zh-CN"/>
                    </w:rPr>
                  </w:pPr>
                  <w:r>
                    <w:rPr>
                      <w:rFonts w:hint="eastAsia"/>
                      <w:snapToGrid w:val="0"/>
                      <w:color w:val="auto"/>
                      <w:sz w:val="21"/>
                      <w:szCs w:val="21"/>
                      <w:highlight w:val="none"/>
                    </w:rPr>
                    <w:t>拆迁、架高电力线电杆</w:t>
                  </w:r>
                  <w:r>
                    <w:rPr>
                      <w:rFonts w:hint="eastAsia"/>
                      <w:snapToGrid w:val="0"/>
                      <w:color w:val="auto"/>
                      <w:sz w:val="21"/>
                      <w:szCs w:val="21"/>
                      <w:highlight w:val="none"/>
                      <w:lang w:val="en-US" w:eastAsia="zh-CN"/>
                    </w:rPr>
                    <w:t>615根；拆迁、架高电讯线线杆21根；地下通讯光缆680m</w:t>
                  </w:r>
                </w:p>
              </w:tc>
            </w:tr>
            <w:tr w14:paraId="72FBD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6A8A6841">
                  <w:pPr>
                    <w:spacing w:line="240" w:lineRule="auto"/>
                    <w:ind w:firstLine="0" w:firstLineChars="0"/>
                    <w:jc w:val="center"/>
                    <w:rPr>
                      <w:color w:val="auto"/>
                      <w:sz w:val="21"/>
                      <w:szCs w:val="21"/>
                      <w:highlight w:val="none"/>
                    </w:rPr>
                  </w:pPr>
                </w:p>
              </w:tc>
              <w:tc>
                <w:tcPr>
                  <w:tcW w:w="219" w:type="pct"/>
                  <w:gridSpan w:val="2"/>
                  <w:vMerge w:val="restart"/>
                  <w:vAlign w:val="center"/>
                </w:tcPr>
                <w:p w14:paraId="7E7F29C8">
                  <w:pPr>
                    <w:spacing w:line="240" w:lineRule="auto"/>
                    <w:ind w:firstLine="0" w:firstLineChars="0"/>
                    <w:jc w:val="center"/>
                    <w:rPr>
                      <w:snapToGrid w:val="0"/>
                      <w:color w:val="auto"/>
                      <w:sz w:val="21"/>
                      <w:szCs w:val="21"/>
                      <w:highlight w:val="none"/>
                    </w:rPr>
                  </w:pPr>
                  <w:r>
                    <w:rPr>
                      <w:snapToGrid w:val="0"/>
                      <w:color w:val="auto"/>
                      <w:sz w:val="21"/>
                      <w:szCs w:val="21"/>
                      <w:highlight w:val="none"/>
                    </w:rPr>
                    <w:t>征地</w:t>
                  </w:r>
                </w:p>
              </w:tc>
              <w:tc>
                <w:tcPr>
                  <w:tcW w:w="523" w:type="pct"/>
                  <w:vAlign w:val="center"/>
                </w:tcPr>
                <w:p w14:paraId="65F1C823">
                  <w:pPr>
                    <w:spacing w:line="240" w:lineRule="auto"/>
                    <w:ind w:firstLine="0" w:firstLineChars="0"/>
                    <w:jc w:val="center"/>
                    <w:rPr>
                      <w:snapToGrid w:val="0"/>
                      <w:color w:val="auto"/>
                      <w:sz w:val="21"/>
                      <w:szCs w:val="21"/>
                      <w:highlight w:val="none"/>
                    </w:rPr>
                  </w:pPr>
                  <w:r>
                    <w:rPr>
                      <w:snapToGrid w:val="0"/>
                      <w:color w:val="auto"/>
                      <w:sz w:val="21"/>
                      <w:szCs w:val="21"/>
                      <w:highlight w:val="none"/>
                    </w:rPr>
                    <w:t>砍伐树木</w:t>
                  </w:r>
                </w:p>
              </w:tc>
              <w:tc>
                <w:tcPr>
                  <w:tcW w:w="160" w:type="pct"/>
                  <w:vAlign w:val="center"/>
                </w:tcPr>
                <w:p w14:paraId="13721DF3">
                  <w:pPr>
                    <w:spacing w:line="240" w:lineRule="auto"/>
                    <w:ind w:firstLine="0" w:firstLineChars="0"/>
                    <w:jc w:val="center"/>
                    <w:rPr>
                      <w:snapToGrid w:val="0"/>
                      <w:color w:val="auto"/>
                      <w:sz w:val="21"/>
                      <w:szCs w:val="21"/>
                      <w:highlight w:val="none"/>
                    </w:rPr>
                  </w:pPr>
                  <w:r>
                    <w:rPr>
                      <w:snapToGrid w:val="0"/>
                      <w:color w:val="auto"/>
                      <w:sz w:val="21"/>
                      <w:szCs w:val="21"/>
                      <w:highlight w:val="none"/>
                    </w:rPr>
                    <w:t>棵</w:t>
                  </w:r>
                </w:p>
              </w:tc>
              <w:tc>
                <w:tcPr>
                  <w:tcW w:w="3866" w:type="pct"/>
                  <w:gridSpan w:val="3"/>
                  <w:vAlign w:val="center"/>
                </w:tcPr>
                <w:p w14:paraId="26E818B3">
                  <w:pPr>
                    <w:spacing w:line="240" w:lineRule="auto"/>
                    <w:ind w:firstLine="0" w:firstLineChars="0"/>
                    <w:jc w:val="left"/>
                    <w:rPr>
                      <w:snapToGrid w:val="0"/>
                      <w:color w:val="auto"/>
                      <w:sz w:val="21"/>
                      <w:szCs w:val="21"/>
                      <w:highlight w:val="none"/>
                    </w:rPr>
                  </w:pPr>
                  <w:r>
                    <w:rPr>
                      <w:snapToGrid w:val="0"/>
                      <w:color w:val="auto"/>
                      <w:sz w:val="21"/>
                      <w:szCs w:val="21"/>
                      <w:highlight w:val="none"/>
                    </w:rPr>
                    <w:t>永久占地砍伐树木</w:t>
                  </w:r>
                  <w:r>
                    <w:rPr>
                      <w:rFonts w:hint="eastAsia"/>
                      <w:snapToGrid w:val="0"/>
                      <w:color w:val="auto"/>
                      <w:sz w:val="21"/>
                      <w:szCs w:val="21"/>
                      <w:highlight w:val="none"/>
                      <w:lang w:val="en-US" w:eastAsia="zh-CN"/>
                    </w:rPr>
                    <w:t>10136</w:t>
                  </w:r>
                  <w:r>
                    <w:rPr>
                      <w:snapToGrid w:val="0"/>
                      <w:color w:val="auto"/>
                      <w:sz w:val="21"/>
                      <w:szCs w:val="21"/>
                      <w:highlight w:val="none"/>
                    </w:rPr>
                    <w:t>棵，包括胸径≥15cm树木</w:t>
                  </w:r>
                  <w:r>
                    <w:rPr>
                      <w:rFonts w:hint="eastAsia"/>
                      <w:snapToGrid w:val="0"/>
                      <w:color w:val="auto"/>
                      <w:sz w:val="21"/>
                      <w:szCs w:val="21"/>
                      <w:highlight w:val="none"/>
                      <w:lang w:val="en-US" w:eastAsia="zh-CN"/>
                    </w:rPr>
                    <w:t>8661</w:t>
                  </w:r>
                  <w:r>
                    <w:rPr>
                      <w:snapToGrid w:val="0"/>
                      <w:color w:val="auto"/>
                      <w:sz w:val="21"/>
                      <w:szCs w:val="21"/>
                      <w:highlight w:val="none"/>
                    </w:rPr>
                    <w:t>棵、胸径＜15cm树木</w:t>
                  </w:r>
                  <w:r>
                    <w:rPr>
                      <w:rFonts w:hint="eastAsia"/>
                      <w:snapToGrid w:val="0"/>
                      <w:color w:val="auto"/>
                      <w:sz w:val="21"/>
                      <w:szCs w:val="21"/>
                      <w:highlight w:val="none"/>
                      <w:lang w:val="en-US" w:eastAsia="zh-CN"/>
                    </w:rPr>
                    <w:t>1475</w:t>
                  </w:r>
                  <w:r>
                    <w:rPr>
                      <w:snapToGrid w:val="0"/>
                      <w:color w:val="auto"/>
                      <w:sz w:val="21"/>
                      <w:szCs w:val="21"/>
                      <w:highlight w:val="none"/>
                    </w:rPr>
                    <w:t>棵</w:t>
                  </w:r>
                </w:p>
              </w:tc>
            </w:tr>
            <w:tr w14:paraId="40928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70E5A995">
                  <w:pPr>
                    <w:spacing w:line="240" w:lineRule="auto"/>
                    <w:ind w:firstLine="0" w:firstLineChars="0"/>
                    <w:jc w:val="center"/>
                    <w:rPr>
                      <w:color w:val="auto"/>
                      <w:sz w:val="21"/>
                      <w:szCs w:val="21"/>
                      <w:highlight w:val="none"/>
                    </w:rPr>
                  </w:pPr>
                </w:p>
              </w:tc>
              <w:tc>
                <w:tcPr>
                  <w:tcW w:w="219" w:type="pct"/>
                  <w:gridSpan w:val="2"/>
                  <w:vMerge w:val="continue"/>
                  <w:vAlign w:val="center"/>
                </w:tcPr>
                <w:p w14:paraId="2CB0D1DE">
                  <w:pPr>
                    <w:spacing w:line="240" w:lineRule="auto"/>
                    <w:ind w:firstLine="0" w:firstLineChars="0"/>
                    <w:jc w:val="center"/>
                    <w:rPr>
                      <w:snapToGrid w:val="0"/>
                      <w:color w:val="auto"/>
                      <w:sz w:val="21"/>
                      <w:szCs w:val="21"/>
                      <w:highlight w:val="none"/>
                    </w:rPr>
                  </w:pPr>
                </w:p>
              </w:tc>
              <w:tc>
                <w:tcPr>
                  <w:tcW w:w="523" w:type="pct"/>
                  <w:vAlign w:val="center"/>
                </w:tcPr>
                <w:p w14:paraId="04567AF9">
                  <w:pPr>
                    <w:spacing w:line="240" w:lineRule="auto"/>
                    <w:ind w:firstLine="0" w:firstLineChars="0"/>
                    <w:jc w:val="center"/>
                    <w:rPr>
                      <w:snapToGrid w:val="0"/>
                      <w:color w:val="auto"/>
                      <w:sz w:val="21"/>
                      <w:szCs w:val="21"/>
                      <w:highlight w:val="none"/>
                    </w:rPr>
                  </w:pPr>
                  <w:r>
                    <w:rPr>
                      <w:snapToGrid w:val="0"/>
                      <w:color w:val="auto"/>
                      <w:sz w:val="21"/>
                      <w:szCs w:val="21"/>
                      <w:highlight w:val="none"/>
                    </w:rPr>
                    <w:t>不良地质段</w:t>
                  </w:r>
                </w:p>
              </w:tc>
              <w:tc>
                <w:tcPr>
                  <w:tcW w:w="160" w:type="pct"/>
                  <w:vAlign w:val="center"/>
                </w:tcPr>
                <w:p w14:paraId="66226D7A">
                  <w:pPr>
                    <w:spacing w:line="240" w:lineRule="auto"/>
                    <w:ind w:firstLine="0" w:firstLineChars="0"/>
                    <w:jc w:val="center"/>
                    <w:rPr>
                      <w:rFonts w:hint="eastAsia" w:eastAsia="宋体"/>
                      <w:snapToGrid w:val="0"/>
                      <w:color w:val="auto"/>
                      <w:sz w:val="21"/>
                      <w:szCs w:val="21"/>
                      <w:highlight w:val="none"/>
                      <w:lang w:val="en-US" w:eastAsia="zh-CN"/>
                    </w:rPr>
                  </w:pPr>
                  <w:r>
                    <w:rPr>
                      <w:rFonts w:hint="eastAsia"/>
                      <w:snapToGrid w:val="0"/>
                      <w:color w:val="auto"/>
                      <w:sz w:val="21"/>
                      <w:szCs w:val="21"/>
                      <w:highlight w:val="none"/>
                      <w:lang w:val="en-US" w:eastAsia="zh-CN"/>
                    </w:rPr>
                    <w:t>/</w:t>
                  </w:r>
                </w:p>
              </w:tc>
              <w:tc>
                <w:tcPr>
                  <w:tcW w:w="3866" w:type="pct"/>
                  <w:gridSpan w:val="3"/>
                  <w:vAlign w:val="center"/>
                </w:tcPr>
                <w:p w14:paraId="28B358F6">
                  <w:pPr>
                    <w:spacing w:line="240" w:lineRule="auto"/>
                    <w:ind w:firstLine="0" w:firstLineChars="0"/>
                    <w:jc w:val="left"/>
                    <w:rPr>
                      <w:snapToGrid w:val="0"/>
                      <w:color w:val="auto"/>
                      <w:sz w:val="21"/>
                      <w:szCs w:val="21"/>
                      <w:highlight w:val="none"/>
                    </w:rPr>
                  </w:pPr>
                  <w:r>
                    <w:rPr>
                      <w:rFonts w:hint="eastAsia"/>
                      <w:snapToGrid w:val="0"/>
                      <w:color w:val="auto"/>
                      <w:sz w:val="21"/>
                      <w:szCs w:val="21"/>
                      <w:highlight w:val="none"/>
                    </w:rPr>
                    <w:t>本项目不良地质路主要为旧路翻浆。</w:t>
                  </w:r>
                </w:p>
              </w:tc>
            </w:tr>
            <w:tr w14:paraId="28288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3EAE0EF6">
                  <w:pPr>
                    <w:spacing w:line="240" w:lineRule="auto"/>
                    <w:ind w:firstLine="0" w:firstLineChars="0"/>
                    <w:jc w:val="center"/>
                    <w:rPr>
                      <w:color w:val="auto"/>
                      <w:sz w:val="21"/>
                      <w:szCs w:val="21"/>
                      <w:highlight w:val="none"/>
                    </w:rPr>
                  </w:pPr>
                </w:p>
              </w:tc>
              <w:tc>
                <w:tcPr>
                  <w:tcW w:w="219" w:type="pct"/>
                  <w:gridSpan w:val="2"/>
                  <w:vMerge w:val="continue"/>
                  <w:vAlign w:val="center"/>
                </w:tcPr>
                <w:p w14:paraId="4F14CCE0">
                  <w:pPr>
                    <w:spacing w:line="240" w:lineRule="auto"/>
                    <w:ind w:firstLine="0" w:firstLineChars="0"/>
                    <w:jc w:val="center"/>
                    <w:rPr>
                      <w:snapToGrid w:val="0"/>
                      <w:color w:val="auto"/>
                      <w:sz w:val="21"/>
                      <w:szCs w:val="21"/>
                      <w:highlight w:val="none"/>
                    </w:rPr>
                  </w:pPr>
                </w:p>
              </w:tc>
              <w:tc>
                <w:tcPr>
                  <w:tcW w:w="523" w:type="pct"/>
                  <w:vAlign w:val="center"/>
                </w:tcPr>
                <w:p w14:paraId="6677B9C5">
                  <w:pPr>
                    <w:spacing w:line="240" w:lineRule="auto"/>
                    <w:ind w:firstLine="0" w:firstLineChars="0"/>
                    <w:jc w:val="center"/>
                    <w:rPr>
                      <w:rFonts w:hint="default" w:ascii="Times New Roman" w:hAnsi="Times New Roman" w:eastAsia="宋体" w:cs="Times New Roman"/>
                      <w:snapToGrid w:val="0"/>
                      <w:color w:val="auto"/>
                      <w:sz w:val="21"/>
                      <w:szCs w:val="21"/>
                      <w:highlight w:val="yellow"/>
                    </w:rPr>
                  </w:pPr>
                  <w:r>
                    <w:rPr>
                      <w:rFonts w:hint="default" w:ascii="Times New Roman" w:hAnsi="Times New Roman" w:eastAsia="宋体" w:cs="Times New Roman"/>
                      <w:snapToGrid w:val="0"/>
                      <w:color w:val="auto"/>
                      <w:sz w:val="21"/>
                      <w:szCs w:val="21"/>
                      <w:highlight w:val="yellow"/>
                    </w:rPr>
                    <w:t>土石方工程</w:t>
                  </w:r>
                </w:p>
              </w:tc>
              <w:tc>
                <w:tcPr>
                  <w:tcW w:w="160" w:type="pct"/>
                  <w:vAlign w:val="center"/>
                </w:tcPr>
                <w:p w14:paraId="10C12769">
                  <w:pPr>
                    <w:spacing w:line="240" w:lineRule="auto"/>
                    <w:ind w:firstLine="0" w:firstLineChars="0"/>
                    <w:jc w:val="center"/>
                    <w:rPr>
                      <w:rFonts w:hint="default" w:ascii="Times New Roman" w:hAnsi="Times New Roman" w:eastAsia="宋体" w:cs="Times New Roman"/>
                      <w:snapToGrid w:val="0"/>
                      <w:color w:val="auto"/>
                      <w:sz w:val="21"/>
                      <w:szCs w:val="21"/>
                      <w:highlight w:val="yellow"/>
                      <w:vertAlign w:val="superscript"/>
                    </w:rPr>
                  </w:pPr>
                  <w:r>
                    <w:rPr>
                      <w:rFonts w:hint="default" w:ascii="Times New Roman" w:hAnsi="Times New Roman" w:eastAsia="宋体" w:cs="Times New Roman"/>
                      <w:snapToGrid w:val="0"/>
                      <w:color w:val="auto"/>
                      <w:sz w:val="21"/>
                      <w:szCs w:val="21"/>
                      <w:highlight w:val="yellow"/>
                    </w:rPr>
                    <w:t>m</w:t>
                  </w:r>
                  <w:r>
                    <w:rPr>
                      <w:rFonts w:hint="default" w:ascii="Times New Roman" w:hAnsi="Times New Roman" w:eastAsia="宋体" w:cs="Times New Roman"/>
                      <w:snapToGrid w:val="0"/>
                      <w:color w:val="auto"/>
                      <w:sz w:val="21"/>
                      <w:szCs w:val="21"/>
                      <w:highlight w:val="yellow"/>
                      <w:vertAlign w:val="superscript"/>
                    </w:rPr>
                    <w:t>3</w:t>
                  </w:r>
                </w:p>
              </w:tc>
              <w:tc>
                <w:tcPr>
                  <w:tcW w:w="3866" w:type="pct"/>
                  <w:gridSpan w:val="3"/>
                  <w:vAlign w:val="center"/>
                </w:tcPr>
                <w:p w14:paraId="03CAC8F3">
                  <w:pPr>
                    <w:spacing w:line="240" w:lineRule="auto"/>
                    <w:ind w:firstLine="0" w:firstLineChars="0"/>
                    <w:jc w:val="left"/>
                    <w:rPr>
                      <w:rFonts w:hint="default" w:ascii="Times New Roman" w:hAnsi="Times New Roman" w:eastAsia="宋体" w:cs="Times New Roman"/>
                      <w:color w:val="auto"/>
                      <w:sz w:val="21"/>
                      <w:szCs w:val="21"/>
                      <w:highlight w:val="yellow"/>
                    </w:rPr>
                  </w:pPr>
                  <w:r>
                    <w:rPr>
                      <w:rFonts w:hint="eastAsia" w:ascii="Times New Roman" w:hAnsi="Times New Roman" w:eastAsia="宋体" w:cs="Times New Roman"/>
                      <w:color w:val="auto"/>
                      <w:sz w:val="21"/>
                      <w:szCs w:val="21"/>
                      <w:highlight w:val="yellow"/>
                      <w:lang w:val="en-US" w:eastAsia="zh-CN"/>
                    </w:rPr>
                    <w:t>本项目</w:t>
                  </w:r>
                  <w:r>
                    <w:rPr>
                      <w:rFonts w:hint="default" w:ascii="Times New Roman" w:hAnsi="Times New Roman" w:eastAsia="宋体" w:cs="Times New Roman"/>
                      <w:color w:val="auto"/>
                      <w:sz w:val="21"/>
                      <w:szCs w:val="21"/>
                      <w:highlight w:val="yellow"/>
                    </w:rPr>
                    <w:t>总填方</w:t>
                  </w:r>
                  <w:r>
                    <w:rPr>
                      <w:rFonts w:hint="eastAsia" w:cs="Times New Roman"/>
                      <w:color w:val="auto"/>
                      <w:sz w:val="21"/>
                      <w:szCs w:val="21"/>
                      <w:highlight w:val="yellow"/>
                      <w:lang w:val="en-US" w:eastAsia="zh-CN"/>
                    </w:rPr>
                    <w:t>13.07万</w:t>
                  </w:r>
                  <w:r>
                    <w:rPr>
                      <w:rFonts w:hint="default" w:ascii="Times New Roman" w:hAnsi="Times New Roman" w:eastAsia="宋体" w:cs="Times New Roman"/>
                      <w:color w:val="auto"/>
                      <w:sz w:val="21"/>
                      <w:szCs w:val="21"/>
                      <w:highlight w:val="yellow"/>
                    </w:rPr>
                    <w:t>m</w:t>
                  </w:r>
                  <w:r>
                    <w:rPr>
                      <w:rFonts w:hint="default" w:ascii="Times New Roman" w:hAnsi="Times New Roman" w:eastAsia="宋体" w:cs="Times New Roman"/>
                      <w:color w:val="auto"/>
                      <w:sz w:val="21"/>
                      <w:szCs w:val="21"/>
                      <w:highlight w:val="yellow"/>
                      <w:vertAlign w:val="superscript"/>
                    </w:rPr>
                    <w:t>3</w:t>
                  </w:r>
                  <w:r>
                    <w:rPr>
                      <w:rFonts w:hint="default" w:ascii="Times New Roman" w:hAnsi="Times New Roman" w:eastAsia="宋体" w:cs="Times New Roman"/>
                      <w:color w:val="auto"/>
                      <w:sz w:val="21"/>
                      <w:szCs w:val="21"/>
                      <w:highlight w:val="yellow"/>
                    </w:rPr>
                    <w:t>、总挖方</w:t>
                  </w:r>
                  <w:r>
                    <w:rPr>
                      <w:rFonts w:hint="eastAsia" w:cs="Times New Roman"/>
                      <w:color w:val="auto"/>
                      <w:sz w:val="21"/>
                      <w:szCs w:val="21"/>
                      <w:highlight w:val="yellow"/>
                      <w:lang w:val="en-US" w:eastAsia="zh-CN"/>
                    </w:rPr>
                    <w:t>10.27万</w:t>
                  </w:r>
                  <w:r>
                    <w:rPr>
                      <w:rFonts w:hint="default" w:ascii="Times New Roman" w:hAnsi="Times New Roman" w:eastAsia="宋体" w:cs="Times New Roman"/>
                      <w:color w:val="auto"/>
                      <w:sz w:val="21"/>
                      <w:szCs w:val="21"/>
                      <w:highlight w:val="yellow"/>
                    </w:rPr>
                    <w:t>m</w:t>
                  </w:r>
                  <w:r>
                    <w:rPr>
                      <w:rFonts w:hint="default" w:ascii="Times New Roman" w:hAnsi="Times New Roman" w:eastAsia="宋体" w:cs="Times New Roman"/>
                      <w:color w:val="auto"/>
                      <w:sz w:val="21"/>
                      <w:szCs w:val="21"/>
                      <w:highlight w:val="yellow"/>
                      <w:vertAlign w:val="superscript"/>
                    </w:rPr>
                    <w:t>3</w:t>
                  </w:r>
                  <w:r>
                    <w:rPr>
                      <w:rFonts w:hint="default" w:ascii="Times New Roman" w:hAnsi="Times New Roman" w:eastAsia="宋体" w:cs="Times New Roman"/>
                      <w:color w:val="auto"/>
                      <w:sz w:val="21"/>
                      <w:szCs w:val="21"/>
                      <w:highlight w:val="yellow"/>
                    </w:rPr>
                    <w:t>、总借方</w:t>
                  </w:r>
                  <w:r>
                    <w:rPr>
                      <w:rFonts w:hint="eastAsia" w:cs="Times New Roman"/>
                      <w:color w:val="auto"/>
                      <w:sz w:val="21"/>
                      <w:szCs w:val="21"/>
                      <w:highlight w:val="yellow"/>
                      <w:lang w:val="en-US" w:eastAsia="zh-CN"/>
                    </w:rPr>
                    <w:t>2.80万</w:t>
                  </w:r>
                  <w:r>
                    <w:rPr>
                      <w:rFonts w:hint="default" w:ascii="Times New Roman" w:hAnsi="Times New Roman" w:eastAsia="宋体" w:cs="Times New Roman"/>
                      <w:color w:val="auto"/>
                      <w:sz w:val="21"/>
                      <w:szCs w:val="21"/>
                      <w:highlight w:val="yellow"/>
                    </w:rPr>
                    <w:t>m</w:t>
                  </w:r>
                  <w:r>
                    <w:rPr>
                      <w:rFonts w:hint="default" w:ascii="Times New Roman" w:hAnsi="Times New Roman" w:eastAsia="宋体" w:cs="Times New Roman"/>
                      <w:color w:val="auto"/>
                      <w:sz w:val="21"/>
                      <w:szCs w:val="21"/>
                      <w:highlight w:val="yellow"/>
                      <w:vertAlign w:val="superscript"/>
                    </w:rPr>
                    <w:t>3</w:t>
                  </w:r>
                  <w:r>
                    <w:rPr>
                      <w:rFonts w:hint="default" w:ascii="Times New Roman" w:hAnsi="Times New Roman" w:eastAsia="宋体" w:cs="Times New Roman"/>
                      <w:color w:val="auto"/>
                      <w:sz w:val="21"/>
                      <w:szCs w:val="21"/>
                      <w:highlight w:val="yellow"/>
                      <w:lang w:eastAsia="zh-CN"/>
                    </w:rPr>
                    <w:t>、总利用方</w:t>
                  </w:r>
                  <w:r>
                    <w:rPr>
                      <w:rFonts w:hint="eastAsia" w:cs="Times New Roman"/>
                      <w:color w:val="auto"/>
                      <w:sz w:val="21"/>
                      <w:szCs w:val="21"/>
                      <w:highlight w:val="yellow"/>
                      <w:lang w:val="en-US" w:eastAsia="zh-CN"/>
                    </w:rPr>
                    <w:t>10.27万</w:t>
                  </w:r>
                  <w:r>
                    <w:rPr>
                      <w:rFonts w:hint="default" w:ascii="Times New Roman" w:hAnsi="Times New Roman" w:eastAsia="宋体" w:cs="Times New Roman"/>
                      <w:color w:val="auto"/>
                      <w:sz w:val="21"/>
                      <w:szCs w:val="21"/>
                      <w:highlight w:val="yellow"/>
                      <w:lang w:val="en-US" w:eastAsia="zh-CN"/>
                    </w:rPr>
                    <w:t>m</w:t>
                  </w:r>
                  <w:r>
                    <w:rPr>
                      <w:rFonts w:hint="default" w:ascii="Times New Roman" w:hAnsi="Times New Roman" w:eastAsia="宋体" w:cs="Times New Roman"/>
                      <w:color w:val="auto"/>
                      <w:sz w:val="21"/>
                      <w:szCs w:val="21"/>
                      <w:highlight w:val="yellow"/>
                      <w:vertAlign w:val="superscript"/>
                      <w:lang w:val="en-US" w:eastAsia="zh-CN"/>
                    </w:rPr>
                    <w:t>3</w:t>
                  </w:r>
                  <w:r>
                    <w:rPr>
                      <w:rFonts w:hint="default" w:ascii="Times New Roman" w:hAnsi="Times New Roman" w:eastAsia="宋体" w:cs="Times New Roman"/>
                      <w:color w:val="auto"/>
                      <w:sz w:val="21"/>
                      <w:szCs w:val="21"/>
                      <w:highlight w:val="yellow"/>
                      <w:lang w:eastAsia="zh-CN"/>
                    </w:rPr>
                    <w:t>、</w:t>
                  </w:r>
                  <w:r>
                    <w:rPr>
                      <w:rFonts w:hint="default" w:ascii="Times New Roman" w:hAnsi="Times New Roman" w:eastAsia="宋体" w:cs="Times New Roman"/>
                      <w:color w:val="auto"/>
                      <w:sz w:val="21"/>
                      <w:szCs w:val="21"/>
                      <w:highlight w:val="yellow"/>
                      <w:vertAlign w:val="baseline"/>
                      <w:lang w:eastAsia="zh-CN"/>
                    </w:rPr>
                    <w:t>总弃方</w:t>
                  </w:r>
                  <w:r>
                    <w:rPr>
                      <w:rFonts w:hint="eastAsia" w:cs="Times New Roman"/>
                      <w:color w:val="auto"/>
                      <w:sz w:val="21"/>
                      <w:szCs w:val="21"/>
                      <w:highlight w:val="yellow"/>
                      <w:vertAlign w:val="baseline"/>
                      <w:lang w:val="en-US" w:eastAsia="zh-CN"/>
                    </w:rPr>
                    <w:t>0</w:t>
                  </w:r>
                  <w:r>
                    <w:rPr>
                      <w:rFonts w:hint="default" w:ascii="Times New Roman" w:hAnsi="Times New Roman" w:eastAsia="宋体" w:cs="Times New Roman"/>
                      <w:color w:val="auto"/>
                      <w:sz w:val="21"/>
                      <w:szCs w:val="21"/>
                      <w:highlight w:val="yellow"/>
                      <w:lang w:val="en-US" w:eastAsia="zh-CN"/>
                    </w:rPr>
                    <w:t>m</w:t>
                  </w:r>
                  <w:r>
                    <w:rPr>
                      <w:rFonts w:hint="default" w:ascii="Times New Roman" w:hAnsi="Times New Roman" w:eastAsia="宋体" w:cs="Times New Roman"/>
                      <w:color w:val="auto"/>
                      <w:sz w:val="21"/>
                      <w:szCs w:val="21"/>
                      <w:highlight w:val="yellow"/>
                      <w:vertAlign w:val="superscript"/>
                      <w:lang w:val="en-US" w:eastAsia="zh-CN"/>
                    </w:rPr>
                    <w:t>3</w:t>
                  </w:r>
                  <w:r>
                    <w:rPr>
                      <w:rFonts w:hint="eastAsia" w:ascii="Times New Roman" w:hAnsi="Times New Roman" w:eastAsia="宋体" w:cs="Times New Roman"/>
                      <w:color w:val="auto"/>
                      <w:sz w:val="21"/>
                      <w:szCs w:val="21"/>
                      <w:highlight w:val="yellow"/>
                      <w:lang w:val="en-US" w:eastAsia="zh-CN"/>
                    </w:rPr>
                    <w:t>。</w:t>
                  </w:r>
                  <w:r>
                    <w:rPr>
                      <w:rFonts w:hint="eastAsia" w:cs="Times New Roman"/>
                      <w:color w:val="auto"/>
                      <w:sz w:val="21"/>
                      <w:szCs w:val="21"/>
                      <w:highlight w:val="yellow"/>
                      <w:lang w:val="en-US" w:eastAsia="zh-CN"/>
                    </w:rPr>
                    <w:t>表土剥离量为0.3万</w:t>
                  </w:r>
                  <w:r>
                    <w:rPr>
                      <w:rFonts w:hint="default" w:ascii="Times New Roman" w:hAnsi="Times New Roman" w:eastAsia="宋体" w:cs="Times New Roman"/>
                      <w:color w:val="auto"/>
                      <w:sz w:val="21"/>
                      <w:szCs w:val="21"/>
                      <w:highlight w:val="yellow"/>
                    </w:rPr>
                    <w:t>m</w:t>
                  </w:r>
                  <w:r>
                    <w:rPr>
                      <w:rFonts w:hint="default" w:ascii="Times New Roman" w:hAnsi="Times New Roman" w:eastAsia="宋体" w:cs="Times New Roman"/>
                      <w:color w:val="auto"/>
                      <w:sz w:val="21"/>
                      <w:szCs w:val="21"/>
                      <w:highlight w:val="yellow"/>
                      <w:vertAlign w:val="superscript"/>
                    </w:rPr>
                    <w:t>3</w:t>
                  </w:r>
                  <w:r>
                    <w:rPr>
                      <w:rFonts w:hint="eastAsia" w:ascii="Times New Roman" w:hAnsi="Times New Roman" w:eastAsia="宋体" w:cs="Times New Roman"/>
                      <w:color w:val="auto"/>
                      <w:sz w:val="21"/>
                      <w:szCs w:val="21"/>
                      <w:highlight w:val="yellow"/>
                      <w:vertAlign w:val="baseline"/>
                      <w:lang w:eastAsia="zh-CN"/>
                    </w:rPr>
                    <w:t>，</w:t>
                  </w:r>
                  <w:r>
                    <w:rPr>
                      <w:rFonts w:hint="eastAsia" w:ascii="Times New Roman" w:hAnsi="Times New Roman" w:eastAsia="宋体" w:cs="Times New Roman"/>
                      <w:color w:val="auto"/>
                      <w:sz w:val="21"/>
                      <w:szCs w:val="21"/>
                      <w:highlight w:val="yellow"/>
                      <w:lang w:val="en-US" w:eastAsia="zh-CN"/>
                    </w:rPr>
                    <w:t>项目剥离表土用于路基边坡绿化</w:t>
                  </w:r>
                  <w:r>
                    <w:rPr>
                      <w:rFonts w:hint="eastAsia" w:cs="Times New Roman"/>
                      <w:color w:val="auto"/>
                      <w:sz w:val="21"/>
                      <w:szCs w:val="21"/>
                      <w:highlight w:val="yellow"/>
                      <w:lang w:val="en-US" w:eastAsia="zh-CN"/>
                    </w:rPr>
                    <w:t>。</w:t>
                  </w:r>
                </w:p>
              </w:tc>
            </w:tr>
            <w:tr w14:paraId="079A3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4A9D4208">
                  <w:pPr>
                    <w:spacing w:line="240" w:lineRule="auto"/>
                    <w:ind w:firstLine="0" w:firstLineChars="0"/>
                    <w:jc w:val="center"/>
                    <w:rPr>
                      <w:color w:val="auto"/>
                      <w:sz w:val="21"/>
                      <w:szCs w:val="21"/>
                      <w:highlight w:val="none"/>
                    </w:rPr>
                  </w:pPr>
                </w:p>
              </w:tc>
              <w:tc>
                <w:tcPr>
                  <w:tcW w:w="219" w:type="pct"/>
                  <w:gridSpan w:val="2"/>
                  <w:vMerge w:val="continue"/>
                  <w:vAlign w:val="center"/>
                </w:tcPr>
                <w:p w14:paraId="14837EB9">
                  <w:pPr>
                    <w:spacing w:line="240" w:lineRule="auto"/>
                    <w:ind w:firstLine="0" w:firstLineChars="0"/>
                    <w:jc w:val="center"/>
                    <w:rPr>
                      <w:snapToGrid w:val="0"/>
                      <w:color w:val="auto"/>
                      <w:sz w:val="21"/>
                      <w:szCs w:val="21"/>
                      <w:highlight w:val="none"/>
                    </w:rPr>
                  </w:pPr>
                </w:p>
              </w:tc>
              <w:tc>
                <w:tcPr>
                  <w:tcW w:w="523" w:type="pct"/>
                  <w:vAlign w:val="center"/>
                </w:tcPr>
                <w:p w14:paraId="48FFC224">
                  <w:pPr>
                    <w:spacing w:line="240" w:lineRule="auto"/>
                    <w:ind w:firstLine="0" w:firstLineChars="0"/>
                    <w:jc w:val="center"/>
                    <w:rPr>
                      <w:snapToGrid w:val="0"/>
                      <w:color w:val="auto"/>
                      <w:sz w:val="21"/>
                      <w:szCs w:val="21"/>
                      <w:highlight w:val="none"/>
                    </w:rPr>
                  </w:pPr>
                  <w:r>
                    <w:rPr>
                      <w:snapToGrid w:val="0"/>
                      <w:color w:val="auto"/>
                      <w:sz w:val="21"/>
                      <w:szCs w:val="21"/>
                      <w:highlight w:val="none"/>
                    </w:rPr>
                    <w:t>永久占地</w:t>
                  </w:r>
                </w:p>
              </w:tc>
              <w:tc>
                <w:tcPr>
                  <w:tcW w:w="160" w:type="pct"/>
                  <w:vAlign w:val="center"/>
                </w:tcPr>
                <w:p w14:paraId="2BE5B191">
                  <w:pPr>
                    <w:spacing w:line="240" w:lineRule="auto"/>
                    <w:ind w:firstLine="0" w:firstLineChars="0"/>
                    <w:jc w:val="center"/>
                    <w:rPr>
                      <w:snapToGrid w:val="0"/>
                      <w:color w:val="auto"/>
                      <w:sz w:val="21"/>
                      <w:szCs w:val="21"/>
                      <w:highlight w:val="none"/>
                    </w:rPr>
                  </w:pPr>
                  <w:r>
                    <w:rPr>
                      <w:snapToGrid w:val="0"/>
                      <w:color w:val="auto"/>
                      <w:sz w:val="21"/>
                      <w:szCs w:val="21"/>
                      <w:highlight w:val="none"/>
                    </w:rPr>
                    <w:t>m</w:t>
                  </w:r>
                  <w:r>
                    <w:rPr>
                      <w:snapToGrid w:val="0"/>
                      <w:color w:val="auto"/>
                      <w:sz w:val="21"/>
                      <w:szCs w:val="21"/>
                      <w:highlight w:val="none"/>
                      <w:vertAlign w:val="superscript"/>
                    </w:rPr>
                    <w:t>2</w:t>
                  </w:r>
                </w:p>
              </w:tc>
              <w:tc>
                <w:tcPr>
                  <w:tcW w:w="3866" w:type="pct"/>
                  <w:gridSpan w:val="3"/>
                  <w:vAlign w:val="center"/>
                </w:tcPr>
                <w:p w14:paraId="3FDC9A92">
                  <w:pPr>
                    <w:spacing w:line="240" w:lineRule="auto"/>
                    <w:ind w:firstLine="0" w:firstLineChars="0"/>
                    <w:jc w:val="left"/>
                    <w:rPr>
                      <w:snapToGrid w:val="0"/>
                      <w:color w:val="auto"/>
                      <w:sz w:val="21"/>
                      <w:szCs w:val="21"/>
                      <w:highlight w:val="none"/>
                    </w:rPr>
                  </w:pPr>
                  <w:r>
                    <w:rPr>
                      <w:rFonts w:hint="eastAsia"/>
                      <w:color w:val="auto"/>
                      <w:sz w:val="21"/>
                      <w:szCs w:val="21"/>
                      <w:highlight w:val="none"/>
                      <w:lang w:val="en-US" w:eastAsia="zh-CN"/>
                    </w:rPr>
                    <w:t>全线永久性占地230183 m</w:t>
                  </w:r>
                  <w:r>
                    <w:rPr>
                      <w:rFonts w:hint="default"/>
                      <w:color w:val="auto"/>
                      <w:sz w:val="21"/>
                      <w:szCs w:val="21"/>
                      <w:highlight w:val="none"/>
                      <w:vertAlign w:val="superscript"/>
                      <w:lang w:val="en-US" w:eastAsia="zh-CN"/>
                    </w:rPr>
                    <w:t>2</w:t>
                  </w:r>
                  <w:r>
                    <w:rPr>
                      <w:rFonts w:hint="eastAsia"/>
                      <w:color w:val="auto"/>
                      <w:sz w:val="21"/>
                      <w:szCs w:val="21"/>
                      <w:highlight w:val="none"/>
                      <w:lang w:val="en-US" w:eastAsia="zh-CN"/>
                    </w:rPr>
                    <w:t>，均为利用旧路，未新增占地，占地类型为公路用地，</w:t>
                  </w:r>
                  <w:r>
                    <w:rPr>
                      <w:rFonts w:hint="eastAsia"/>
                      <w:color w:val="auto"/>
                      <w:sz w:val="21"/>
                      <w:szCs w:val="21"/>
                      <w:highlight w:val="none"/>
                    </w:rPr>
                    <w:t>未占用基本农田和国家级公益林</w:t>
                  </w:r>
                </w:p>
              </w:tc>
            </w:tr>
            <w:tr w14:paraId="3DDD3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4AD044C3">
                  <w:pPr>
                    <w:spacing w:line="240" w:lineRule="auto"/>
                    <w:ind w:firstLine="0" w:firstLineChars="0"/>
                    <w:jc w:val="center"/>
                    <w:rPr>
                      <w:color w:val="auto"/>
                      <w:sz w:val="21"/>
                      <w:szCs w:val="21"/>
                      <w:highlight w:val="none"/>
                    </w:rPr>
                  </w:pPr>
                </w:p>
              </w:tc>
              <w:tc>
                <w:tcPr>
                  <w:tcW w:w="743" w:type="pct"/>
                  <w:gridSpan w:val="3"/>
                  <w:vAlign w:val="center"/>
                </w:tcPr>
                <w:p w14:paraId="25777E69">
                  <w:pPr>
                    <w:spacing w:line="240" w:lineRule="auto"/>
                    <w:ind w:firstLine="0" w:firstLineChars="0"/>
                    <w:jc w:val="center"/>
                    <w:rPr>
                      <w:snapToGrid w:val="0"/>
                      <w:color w:val="auto"/>
                      <w:sz w:val="21"/>
                      <w:szCs w:val="21"/>
                      <w:highlight w:val="none"/>
                    </w:rPr>
                  </w:pPr>
                  <w:r>
                    <w:rPr>
                      <w:snapToGrid w:val="0"/>
                      <w:color w:val="auto"/>
                      <w:sz w:val="21"/>
                      <w:szCs w:val="21"/>
                      <w:highlight w:val="none"/>
                    </w:rPr>
                    <w:t>绿化工程</w:t>
                  </w:r>
                </w:p>
              </w:tc>
              <w:tc>
                <w:tcPr>
                  <w:tcW w:w="160" w:type="pct"/>
                  <w:vAlign w:val="center"/>
                </w:tcPr>
                <w:p w14:paraId="20AB0719">
                  <w:pPr>
                    <w:spacing w:line="240" w:lineRule="auto"/>
                    <w:ind w:firstLine="0" w:firstLineChars="0"/>
                    <w:jc w:val="center"/>
                    <w:rPr>
                      <w:snapToGrid w:val="0"/>
                      <w:color w:val="auto"/>
                      <w:sz w:val="21"/>
                      <w:szCs w:val="21"/>
                      <w:highlight w:val="none"/>
                    </w:rPr>
                  </w:pPr>
                  <w:r>
                    <w:rPr>
                      <w:snapToGrid w:val="0"/>
                      <w:color w:val="auto"/>
                      <w:sz w:val="21"/>
                      <w:szCs w:val="21"/>
                      <w:highlight w:val="none"/>
                    </w:rPr>
                    <w:t>/</w:t>
                  </w:r>
                </w:p>
              </w:tc>
              <w:tc>
                <w:tcPr>
                  <w:tcW w:w="3866" w:type="pct"/>
                  <w:gridSpan w:val="3"/>
                  <w:vAlign w:val="center"/>
                </w:tcPr>
                <w:p w14:paraId="4B9618BC">
                  <w:pPr>
                    <w:spacing w:line="240" w:lineRule="auto"/>
                    <w:ind w:firstLine="0" w:firstLineChars="0"/>
                    <w:jc w:val="left"/>
                    <w:rPr>
                      <w:color w:val="auto"/>
                      <w:sz w:val="21"/>
                      <w:szCs w:val="21"/>
                      <w:highlight w:val="none"/>
                    </w:rPr>
                  </w:pPr>
                  <w:r>
                    <w:rPr>
                      <w:color w:val="auto"/>
                      <w:sz w:val="21"/>
                      <w:szCs w:val="21"/>
                      <w:highlight w:val="none"/>
                    </w:rPr>
                    <w:t>设置边坡植草防护，绿化布置采用草坪为主，常绿乔灌木等</w:t>
                  </w:r>
                </w:p>
              </w:tc>
            </w:tr>
            <w:tr w14:paraId="19170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restart"/>
                  <w:vAlign w:val="center"/>
                </w:tcPr>
                <w:p w14:paraId="5645E34F">
                  <w:pPr>
                    <w:spacing w:line="240" w:lineRule="auto"/>
                    <w:ind w:firstLine="0" w:firstLineChars="0"/>
                    <w:jc w:val="center"/>
                    <w:rPr>
                      <w:snapToGrid w:val="0"/>
                      <w:color w:val="auto"/>
                      <w:sz w:val="21"/>
                      <w:szCs w:val="21"/>
                      <w:highlight w:val="none"/>
                    </w:rPr>
                  </w:pPr>
                  <w:r>
                    <w:rPr>
                      <w:snapToGrid w:val="0"/>
                      <w:color w:val="auto"/>
                      <w:sz w:val="21"/>
                      <w:szCs w:val="21"/>
                      <w:highlight w:val="none"/>
                    </w:rPr>
                    <w:t>辅助</w:t>
                  </w:r>
                </w:p>
                <w:p w14:paraId="76A7892E">
                  <w:pPr>
                    <w:spacing w:line="240" w:lineRule="auto"/>
                    <w:ind w:firstLine="0" w:firstLineChars="0"/>
                    <w:jc w:val="center"/>
                    <w:rPr>
                      <w:color w:val="auto"/>
                      <w:sz w:val="21"/>
                      <w:szCs w:val="21"/>
                      <w:highlight w:val="none"/>
                    </w:rPr>
                  </w:pPr>
                  <w:r>
                    <w:rPr>
                      <w:snapToGrid w:val="0"/>
                      <w:color w:val="auto"/>
                      <w:sz w:val="21"/>
                      <w:szCs w:val="21"/>
                      <w:highlight w:val="none"/>
                    </w:rPr>
                    <w:t>工程</w:t>
                  </w:r>
                </w:p>
              </w:tc>
              <w:tc>
                <w:tcPr>
                  <w:tcW w:w="219" w:type="pct"/>
                  <w:gridSpan w:val="2"/>
                  <w:vMerge w:val="restart"/>
                  <w:vAlign w:val="center"/>
                </w:tcPr>
                <w:p w14:paraId="1AC778A8">
                  <w:pPr>
                    <w:spacing w:line="240" w:lineRule="auto"/>
                    <w:ind w:firstLine="0" w:firstLineChars="0"/>
                    <w:jc w:val="center"/>
                    <w:rPr>
                      <w:snapToGrid w:val="0"/>
                      <w:color w:val="auto"/>
                      <w:sz w:val="21"/>
                      <w:szCs w:val="21"/>
                      <w:highlight w:val="none"/>
                    </w:rPr>
                  </w:pPr>
                  <w:r>
                    <w:rPr>
                      <w:snapToGrid w:val="0"/>
                      <w:color w:val="auto"/>
                      <w:sz w:val="21"/>
                      <w:szCs w:val="21"/>
                      <w:highlight w:val="none"/>
                    </w:rPr>
                    <w:t>临时</w:t>
                  </w:r>
                </w:p>
                <w:p w14:paraId="2D737C68">
                  <w:pPr>
                    <w:spacing w:line="240" w:lineRule="auto"/>
                    <w:ind w:firstLine="0" w:firstLineChars="0"/>
                    <w:jc w:val="center"/>
                    <w:rPr>
                      <w:snapToGrid w:val="0"/>
                      <w:color w:val="auto"/>
                      <w:sz w:val="21"/>
                      <w:szCs w:val="21"/>
                      <w:highlight w:val="none"/>
                    </w:rPr>
                  </w:pPr>
                  <w:r>
                    <w:rPr>
                      <w:snapToGrid w:val="0"/>
                      <w:color w:val="auto"/>
                      <w:sz w:val="21"/>
                      <w:szCs w:val="21"/>
                      <w:highlight w:val="none"/>
                    </w:rPr>
                    <w:t>工程</w:t>
                  </w:r>
                </w:p>
              </w:tc>
              <w:tc>
                <w:tcPr>
                  <w:tcW w:w="523" w:type="pct"/>
                  <w:vAlign w:val="center"/>
                </w:tcPr>
                <w:p w14:paraId="57438077">
                  <w:pPr>
                    <w:spacing w:line="240" w:lineRule="auto"/>
                    <w:ind w:firstLine="0" w:firstLineChars="0"/>
                    <w:jc w:val="center"/>
                    <w:rPr>
                      <w:snapToGrid w:val="0"/>
                      <w:color w:val="auto"/>
                      <w:sz w:val="21"/>
                      <w:szCs w:val="21"/>
                      <w:highlight w:val="none"/>
                    </w:rPr>
                  </w:pPr>
                  <w:r>
                    <w:rPr>
                      <w:snapToGrid w:val="0"/>
                      <w:color w:val="auto"/>
                      <w:sz w:val="21"/>
                      <w:szCs w:val="21"/>
                      <w:highlight w:val="none"/>
                    </w:rPr>
                    <w:t>临时占地</w:t>
                  </w:r>
                </w:p>
              </w:tc>
              <w:tc>
                <w:tcPr>
                  <w:tcW w:w="160" w:type="pct"/>
                  <w:vAlign w:val="center"/>
                </w:tcPr>
                <w:p w14:paraId="0065EB5E">
                  <w:pPr>
                    <w:spacing w:line="240" w:lineRule="auto"/>
                    <w:ind w:firstLine="0" w:firstLineChars="0"/>
                    <w:jc w:val="center"/>
                    <w:rPr>
                      <w:snapToGrid w:val="0"/>
                      <w:color w:val="auto"/>
                      <w:sz w:val="21"/>
                      <w:szCs w:val="21"/>
                      <w:highlight w:val="none"/>
                      <w:vertAlign w:val="superscript"/>
                    </w:rPr>
                  </w:pPr>
                  <w:r>
                    <w:rPr>
                      <w:snapToGrid w:val="0"/>
                      <w:color w:val="auto"/>
                      <w:sz w:val="21"/>
                      <w:szCs w:val="21"/>
                      <w:highlight w:val="none"/>
                    </w:rPr>
                    <w:t>m</w:t>
                  </w:r>
                  <w:r>
                    <w:rPr>
                      <w:snapToGrid w:val="0"/>
                      <w:color w:val="auto"/>
                      <w:sz w:val="21"/>
                      <w:szCs w:val="21"/>
                      <w:highlight w:val="none"/>
                      <w:vertAlign w:val="superscript"/>
                    </w:rPr>
                    <w:t>2</w:t>
                  </w:r>
                </w:p>
              </w:tc>
              <w:tc>
                <w:tcPr>
                  <w:tcW w:w="3866" w:type="pct"/>
                  <w:gridSpan w:val="3"/>
                  <w:vAlign w:val="center"/>
                </w:tcPr>
                <w:p w14:paraId="31A14723">
                  <w:pPr>
                    <w:spacing w:line="240" w:lineRule="auto"/>
                    <w:ind w:firstLine="0" w:firstLineChars="0"/>
                    <w:jc w:val="both"/>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本项目未新增临时占地，临时占地均设置在永久占地范围内。</w:t>
                  </w:r>
                </w:p>
              </w:tc>
            </w:tr>
            <w:tr w14:paraId="0BBC8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5B05FB7D">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18EE2334">
                  <w:pPr>
                    <w:spacing w:line="240" w:lineRule="auto"/>
                    <w:ind w:firstLine="0" w:firstLineChars="0"/>
                    <w:jc w:val="center"/>
                    <w:rPr>
                      <w:snapToGrid w:val="0"/>
                      <w:color w:val="auto"/>
                      <w:sz w:val="21"/>
                      <w:szCs w:val="21"/>
                      <w:highlight w:val="none"/>
                    </w:rPr>
                  </w:pPr>
                </w:p>
              </w:tc>
              <w:tc>
                <w:tcPr>
                  <w:tcW w:w="523" w:type="pct"/>
                  <w:vAlign w:val="center"/>
                </w:tcPr>
                <w:p w14:paraId="56F9B730">
                  <w:pPr>
                    <w:spacing w:line="240" w:lineRule="auto"/>
                    <w:ind w:firstLine="0" w:firstLineChars="0"/>
                    <w:jc w:val="center"/>
                    <w:rPr>
                      <w:snapToGrid w:val="0"/>
                      <w:color w:val="auto"/>
                      <w:sz w:val="21"/>
                      <w:szCs w:val="21"/>
                      <w:highlight w:val="none"/>
                    </w:rPr>
                  </w:pPr>
                  <w:r>
                    <w:rPr>
                      <w:snapToGrid w:val="0"/>
                      <w:color w:val="auto"/>
                      <w:sz w:val="21"/>
                      <w:szCs w:val="21"/>
                      <w:highlight w:val="none"/>
                    </w:rPr>
                    <w:t>取土场</w:t>
                  </w:r>
                </w:p>
              </w:tc>
              <w:tc>
                <w:tcPr>
                  <w:tcW w:w="160" w:type="pct"/>
                  <w:vAlign w:val="center"/>
                </w:tcPr>
                <w:p w14:paraId="40F7E349">
                  <w:pPr>
                    <w:spacing w:line="240" w:lineRule="auto"/>
                    <w:ind w:firstLine="0" w:firstLineChars="0"/>
                    <w:jc w:val="center"/>
                    <w:rPr>
                      <w:snapToGrid w:val="0"/>
                      <w:color w:val="auto"/>
                      <w:sz w:val="21"/>
                      <w:szCs w:val="21"/>
                      <w:highlight w:val="none"/>
                      <w:vertAlign w:val="superscript"/>
                    </w:rPr>
                  </w:pPr>
                  <w:r>
                    <w:rPr>
                      <w:snapToGrid w:val="0"/>
                      <w:color w:val="auto"/>
                      <w:sz w:val="21"/>
                      <w:szCs w:val="21"/>
                      <w:highlight w:val="none"/>
                      <w:vertAlign w:val="superscript"/>
                    </w:rPr>
                    <w:t>/</w:t>
                  </w:r>
                </w:p>
              </w:tc>
              <w:tc>
                <w:tcPr>
                  <w:tcW w:w="3866" w:type="pct"/>
                  <w:gridSpan w:val="3"/>
                  <w:vAlign w:val="center"/>
                </w:tcPr>
                <w:p w14:paraId="0EB931A9">
                  <w:pPr>
                    <w:spacing w:line="240" w:lineRule="auto"/>
                    <w:ind w:firstLine="0" w:firstLineChars="0"/>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不设置取土场</w:t>
                  </w:r>
                </w:p>
              </w:tc>
            </w:tr>
            <w:tr w14:paraId="67C3E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4C86ED7C">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153BE2C1">
                  <w:pPr>
                    <w:spacing w:line="240" w:lineRule="auto"/>
                    <w:ind w:firstLine="0" w:firstLineChars="0"/>
                    <w:jc w:val="center"/>
                    <w:rPr>
                      <w:snapToGrid w:val="0"/>
                      <w:color w:val="auto"/>
                      <w:sz w:val="21"/>
                      <w:szCs w:val="21"/>
                      <w:highlight w:val="none"/>
                    </w:rPr>
                  </w:pPr>
                </w:p>
              </w:tc>
              <w:tc>
                <w:tcPr>
                  <w:tcW w:w="523" w:type="pct"/>
                  <w:vAlign w:val="center"/>
                </w:tcPr>
                <w:p w14:paraId="673E2206">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弃土场</w:t>
                  </w:r>
                </w:p>
              </w:tc>
              <w:tc>
                <w:tcPr>
                  <w:tcW w:w="160" w:type="pct"/>
                  <w:vAlign w:val="center"/>
                </w:tcPr>
                <w:p w14:paraId="0B0C529A">
                  <w:pPr>
                    <w:spacing w:line="240" w:lineRule="auto"/>
                    <w:ind w:firstLine="0" w:firstLineChars="0"/>
                    <w:jc w:val="center"/>
                    <w:rPr>
                      <w:snapToGrid w:val="0"/>
                      <w:color w:val="auto"/>
                      <w:sz w:val="21"/>
                      <w:szCs w:val="21"/>
                      <w:highlight w:val="none"/>
                      <w:vertAlign w:val="superscript"/>
                    </w:rPr>
                  </w:pPr>
                  <w:r>
                    <w:rPr>
                      <w:snapToGrid w:val="0"/>
                      <w:color w:val="auto"/>
                      <w:sz w:val="21"/>
                      <w:szCs w:val="21"/>
                      <w:highlight w:val="none"/>
                      <w:vertAlign w:val="superscript"/>
                    </w:rPr>
                    <w:t>/</w:t>
                  </w:r>
                </w:p>
              </w:tc>
              <w:tc>
                <w:tcPr>
                  <w:tcW w:w="3866" w:type="pct"/>
                  <w:gridSpan w:val="3"/>
                  <w:vAlign w:val="center"/>
                </w:tcPr>
                <w:p w14:paraId="59CE0DD4">
                  <w:pPr>
                    <w:spacing w:line="240" w:lineRule="auto"/>
                    <w:ind w:firstLine="0" w:firstLineChars="0"/>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全部回用不设置弃土场。</w:t>
                  </w:r>
                </w:p>
              </w:tc>
            </w:tr>
            <w:tr w14:paraId="2A0AC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596E0638">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5B698C0C">
                  <w:pPr>
                    <w:spacing w:line="240" w:lineRule="auto"/>
                    <w:ind w:firstLine="0" w:firstLineChars="0"/>
                    <w:jc w:val="center"/>
                    <w:rPr>
                      <w:snapToGrid w:val="0"/>
                      <w:color w:val="auto"/>
                      <w:sz w:val="21"/>
                      <w:szCs w:val="21"/>
                      <w:highlight w:val="none"/>
                    </w:rPr>
                  </w:pPr>
                </w:p>
              </w:tc>
              <w:tc>
                <w:tcPr>
                  <w:tcW w:w="523" w:type="pct"/>
                  <w:vAlign w:val="center"/>
                </w:tcPr>
                <w:p w14:paraId="334D2404">
                  <w:pPr>
                    <w:spacing w:line="240" w:lineRule="auto"/>
                    <w:ind w:firstLine="0" w:firstLineChars="0"/>
                    <w:jc w:val="center"/>
                    <w:rPr>
                      <w:rFonts w:hint="eastAsia" w:eastAsia="宋体"/>
                      <w:snapToGrid w:val="0"/>
                      <w:color w:val="auto"/>
                      <w:sz w:val="21"/>
                      <w:szCs w:val="21"/>
                      <w:highlight w:val="none"/>
                      <w:lang w:eastAsia="zh-CN"/>
                    </w:rPr>
                  </w:pPr>
                  <w:r>
                    <w:rPr>
                      <w:rFonts w:hint="eastAsia"/>
                      <w:snapToGrid w:val="0"/>
                      <w:color w:val="auto"/>
                      <w:sz w:val="21"/>
                      <w:szCs w:val="21"/>
                      <w:highlight w:val="none"/>
                      <w:lang w:eastAsia="zh-CN"/>
                    </w:rPr>
                    <w:t>施工营地</w:t>
                  </w:r>
                </w:p>
              </w:tc>
              <w:tc>
                <w:tcPr>
                  <w:tcW w:w="160" w:type="pct"/>
                  <w:vAlign w:val="center"/>
                </w:tcPr>
                <w:p w14:paraId="41D12BAD">
                  <w:pPr>
                    <w:spacing w:line="240" w:lineRule="auto"/>
                    <w:ind w:firstLine="0" w:firstLineChars="0"/>
                    <w:jc w:val="center"/>
                    <w:rPr>
                      <w:snapToGrid w:val="0"/>
                      <w:color w:val="auto"/>
                      <w:sz w:val="21"/>
                      <w:szCs w:val="21"/>
                      <w:highlight w:val="none"/>
                      <w:vertAlign w:val="superscript"/>
                    </w:rPr>
                  </w:pPr>
                  <w:r>
                    <w:rPr>
                      <w:snapToGrid w:val="0"/>
                      <w:color w:val="auto"/>
                      <w:sz w:val="21"/>
                      <w:szCs w:val="21"/>
                      <w:highlight w:val="none"/>
                      <w:vertAlign w:val="superscript"/>
                    </w:rPr>
                    <w:t>/</w:t>
                  </w:r>
                </w:p>
              </w:tc>
              <w:tc>
                <w:tcPr>
                  <w:tcW w:w="3866" w:type="pct"/>
                  <w:gridSpan w:val="3"/>
                  <w:vAlign w:val="center"/>
                </w:tcPr>
                <w:p w14:paraId="6E91E179">
                  <w:pPr>
                    <w:spacing w:line="240" w:lineRule="auto"/>
                    <w:ind w:firstLine="0" w:firstLineChars="0"/>
                    <w:jc w:val="both"/>
                    <w:rPr>
                      <w:rFonts w:hint="eastAsia"/>
                      <w:color w:val="auto"/>
                      <w:sz w:val="21"/>
                      <w:szCs w:val="21"/>
                      <w:highlight w:val="none"/>
                      <w:lang w:val="en-US" w:eastAsia="zh-CN"/>
                    </w:rPr>
                  </w:pPr>
                  <w:r>
                    <w:rPr>
                      <w:rFonts w:hint="eastAsia" w:ascii="Times New Roman" w:hAnsi="Times New Roman" w:cs="宋体"/>
                      <w:bCs w:val="0"/>
                      <w:snapToGrid w:val="0"/>
                      <w:color w:val="auto"/>
                      <w:spacing w:val="0"/>
                      <w:kern w:val="0"/>
                      <w:sz w:val="21"/>
                      <w:szCs w:val="21"/>
                      <w:highlight w:val="none"/>
                      <w:lang w:bidi="ar"/>
                    </w:rPr>
                    <w:t>施工人员生活及住宿租用当地民房，不设置施工营地</w:t>
                  </w:r>
                </w:p>
              </w:tc>
            </w:tr>
            <w:tr w14:paraId="5BF87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6E17BE85">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15168570">
                  <w:pPr>
                    <w:spacing w:line="240" w:lineRule="auto"/>
                    <w:ind w:firstLine="0" w:firstLineChars="0"/>
                    <w:jc w:val="center"/>
                    <w:rPr>
                      <w:snapToGrid w:val="0"/>
                      <w:color w:val="auto"/>
                      <w:sz w:val="21"/>
                      <w:szCs w:val="21"/>
                      <w:highlight w:val="none"/>
                    </w:rPr>
                  </w:pPr>
                </w:p>
              </w:tc>
              <w:tc>
                <w:tcPr>
                  <w:tcW w:w="523" w:type="pct"/>
                  <w:vAlign w:val="center"/>
                </w:tcPr>
                <w:p w14:paraId="0D04F996">
                  <w:pPr>
                    <w:spacing w:line="240" w:lineRule="auto"/>
                    <w:ind w:firstLine="0" w:firstLineChars="0"/>
                    <w:jc w:val="center"/>
                    <w:rPr>
                      <w:snapToGrid w:val="0"/>
                      <w:color w:val="auto"/>
                      <w:sz w:val="21"/>
                      <w:szCs w:val="21"/>
                      <w:highlight w:val="none"/>
                    </w:rPr>
                  </w:pPr>
                  <w:r>
                    <w:rPr>
                      <w:color w:val="auto"/>
                      <w:sz w:val="21"/>
                      <w:szCs w:val="21"/>
                      <w:highlight w:val="none"/>
                    </w:rPr>
                    <w:t>拌合站及施工驻地</w:t>
                  </w:r>
                </w:p>
              </w:tc>
              <w:tc>
                <w:tcPr>
                  <w:tcW w:w="160" w:type="pct"/>
                  <w:vAlign w:val="center"/>
                </w:tcPr>
                <w:p w14:paraId="24B00929">
                  <w:pPr>
                    <w:spacing w:line="240" w:lineRule="auto"/>
                    <w:ind w:firstLine="0" w:firstLineChars="0"/>
                    <w:jc w:val="center"/>
                    <w:rPr>
                      <w:snapToGrid w:val="0"/>
                      <w:color w:val="auto"/>
                      <w:sz w:val="21"/>
                      <w:szCs w:val="21"/>
                      <w:highlight w:val="none"/>
                      <w:vertAlign w:val="superscript"/>
                    </w:rPr>
                  </w:pPr>
                  <w:r>
                    <w:rPr>
                      <w:snapToGrid w:val="0"/>
                      <w:color w:val="auto"/>
                      <w:sz w:val="21"/>
                      <w:szCs w:val="21"/>
                      <w:highlight w:val="none"/>
                      <w:vertAlign w:val="superscript"/>
                    </w:rPr>
                    <w:t>/</w:t>
                  </w:r>
                </w:p>
              </w:tc>
              <w:tc>
                <w:tcPr>
                  <w:tcW w:w="3866" w:type="pct"/>
                  <w:gridSpan w:val="3"/>
                  <w:vAlign w:val="center"/>
                </w:tcPr>
                <w:p w14:paraId="0C05FB31">
                  <w:pPr>
                    <w:spacing w:line="240" w:lineRule="auto"/>
                    <w:ind w:firstLine="0" w:firstLineChars="0"/>
                    <w:jc w:val="both"/>
                    <w:rPr>
                      <w:rFonts w:hint="default" w:eastAsia="宋体"/>
                      <w:snapToGrid w:val="0"/>
                      <w:color w:val="auto"/>
                      <w:sz w:val="21"/>
                      <w:szCs w:val="21"/>
                      <w:highlight w:val="none"/>
                      <w:lang w:val="en-US" w:eastAsia="zh-CN"/>
                    </w:rPr>
                  </w:pPr>
                  <w:r>
                    <w:rPr>
                      <w:rFonts w:hint="eastAsia"/>
                      <w:color w:val="auto"/>
                      <w:sz w:val="21"/>
                      <w:szCs w:val="21"/>
                      <w:highlight w:val="none"/>
                      <w:lang w:val="en-US" w:eastAsia="zh-CN"/>
                    </w:rPr>
                    <w:t>本项目混凝土全部外购商品砼，不设置拌合站。</w:t>
                  </w:r>
                </w:p>
              </w:tc>
            </w:tr>
            <w:tr w14:paraId="38D31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268A63A5">
                  <w:pPr>
                    <w:spacing w:line="240" w:lineRule="auto"/>
                    <w:ind w:firstLine="0" w:firstLineChars="0"/>
                    <w:jc w:val="center"/>
                    <w:rPr>
                      <w:snapToGrid w:val="0"/>
                      <w:color w:val="auto"/>
                      <w:sz w:val="21"/>
                      <w:szCs w:val="21"/>
                      <w:highlight w:val="none"/>
                    </w:rPr>
                  </w:pPr>
                </w:p>
              </w:tc>
              <w:tc>
                <w:tcPr>
                  <w:tcW w:w="219" w:type="pct"/>
                  <w:gridSpan w:val="2"/>
                  <w:vMerge w:val="continue"/>
                  <w:vAlign w:val="center"/>
                </w:tcPr>
                <w:p w14:paraId="2C16D872">
                  <w:pPr>
                    <w:spacing w:line="240" w:lineRule="auto"/>
                    <w:ind w:firstLine="0" w:firstLineChars="0"/>
                    <w:jc w:val="center"/>
                    <w:rPr>
                      <w:snapToGrid w:val="0"/>
                      <w:color w:val="auto"/>
                      <w:sz w:val="21"/>
                      <w:szCs w:val="21"/>
                      <w:highlight w:val="none"/>
                    </w:rPr>
                  </w:pPr>
                </w:p>
              </w:tc>
              <w:tc>
                <w:tcPr>
                  <w:tcW w:w="523" w:type="pct"/>
                  <w:vAlign w:val="center"/>
                </w:tcPr>
                <w:p w14:paraId="7B333C38">
                  <w:pPr>
                    <w:spacing w:line="240" w:lineRule="auto"/>
                    <w:ind w:firstLine="0" w:firstLineChars="0"/>
                    <w:jc w:val="center"/>
                    <w:rPr>
                      <w:color w:val="auto"/>
                      <w:sz w:val="21"/>
                      <w:szCs w:val="21"/>
                      <w:highlight w:val="none"/>
                    </w:rPr>
                  </w:pPr>
                  <w:r>
                    <w:rPr>
                      <w:rFonts w:hint="eastAsia"/>
                      <w:color w:val="auto"/>
                      <w:sz w:val="21"/>
                      <w:szCs w:val="21"/>
                      <w:highlight w:val="none"/>
                    </w:rPr>
                    <w:t>临时便道</w:t>
                  </w:r>
                </w:p>
              </w:tc>
              <w:tc>
                <w:tcPr>
                  <w:tcW w:w="160" w:type="pct"/>
                  <w:vAlign w:val="center"/>
                </w:tcPr>
                <w:p w14:paraId="4048895E">
                  <w:pPr>
                    <w:spacing w:line="240" w:lineRule="auto"/>
                    <w:ind w:firstLine="0" w:firstLineChars="0"/>
                    <w:jc w:val="center"/>
                    <w:rPr>
                      <w:snapToGrid w:val="0"/>
                      <w:color w:val="auto"/>
                      <w:sz w:val="21"/>
                      <w:szCs w:val="21"/>
                      <w:highlight w:val="none"/>
                      <w:vertAlign w:val="superscript"/>
                    </w:rPr>
                  </w:pPr>
                  <w:r>
                    <w:rPr>
                      <w:snapToGrid w:val="0"/>
                      <w:color w:val="auto"/>
                      <w:sz w:val="21"/>
                      <w:szCs w:val="21"/>
                      <w:highlight w:val="none"/>
                      <w:vertAlign w:val="superscript"/>
                    </w:rPr>
                    <w:t>/</w:t>
                  </w:r>
                </w:p>
              </w:tc>
              <w:tc>
                <w:tcPr>
                  <w:tcW w:w="3866" w:type="pct"/>
                  <w:gridSpan w:val="3"/>
                  <w:vAlign w:val="center"/>
                </w:tcPr>
                <w:p w14:paraId="54B897D1">
                  <w:pPr>
                    <w:spacing w:line="240" w:lineRule="auto"/>
                    <w:ind w:firstLine="0" w:firstLineChars="0"/>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项目不设置施工便道，在公路红线内施工，无新增临时占地</w:t>
                  </w:r>
                </w:p>
              </w:tc>
            </w:tr>
            <w:tr w14:paraId="544AC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restart"/>
                  <w:vAlign w:val="center"/>
                </w:tcPr>
                <w:p w14:paraId="61DD0030">
                  <w:pPr>
                    <w:spacing w:line="240" w:lineRule="auto"/>
                    <w:ind w:firstLine="0" w:firstLineChars="0"/>
                    <w:jc w:val="center"/>
                    <w:rPr>
                      <w:snapToGrid w:val="0"/>
                      <w:color w:val="auto"/>
                      <w:sz w:val="21"/>
                      <w:szCs w:val="21"/>
                      <w:highlight w:val="none"/>
                    </w:rPr>
                  </w:pPr>
                  <w:r>
                    <w:rPr>
                      <w:snapToGrid w:val="0"/>
                      <w:color w:val="auto"/>
                      <w:sz w:val="21"/>
                      <w:szCs w:val="21"/>
                      <w:highlight w:val="none"/>
                    </w:rPr>
                    <w:t>公用</w:t>
                  </w:r>
                </w:p>
                <w:p w14:paraId="4D6B9FD8">
                  <w:pPr>
                    <w:spacing w:line="240" w:lineRule="auto"/>
                    <w:ind w:firstLine="0" w:firstLineChars="0"/>
                    <w:jc w:val="center"/>
                    <w:rPr>
                      <w:snapToGrid w:val="0"/>
                      <w:color w:val="auto"/>
                      <w:sz w:val="21"/>
                      <w:szCs w:val="21"/>
                      <w:highlight w:val="none"/>
                    </w:rPr>
                  </w:pPr>
                  <w:r>
                    <w:rPr>
                      <w:snapToGrid w:val="0"/>
                      <w:color w:val="auto"/>
                      <w:sz w:val="21"/>
                      <w:szCs w:val="21"/>
                      <w:highlight w:val="none"/>
                    </w:rPr>
                    <w:t>工程</w:t>
                  </w:r>
                </w:p>
              </w:tc>
              <w:tc>
                <w:tcPr>
                  <w:tcW w:w="743" w:type="pct"/>
                  <w:gridSpan w:val="3"/>
                  <w:vAlign w:val="center"/>
                </w:tcPr>
                <w:p w14:paraId="36604297">
                  <w:pPr>
                    <w:spacing w:line="240" w:lineRule="auto"/>
                    <w:ind w:firstLine="0" w:firstLineChars="0"/>
                    <w:jc w:val="center"/>
                    <w:rPr>
                      <w:snapToGrid w:val="0"/>
                      <w:color w:val="auto"/>
                      <w:sz w:val="21"/>
                      <w:szCs w:val="21"/>
                      <w:highlight w:val="none"/>
                    </w:rPr>
                  </w:pPr>
                  <w:r>
                    <w:rPr>
                      <w:snapToGrid w:val="0"/>
                      <w:color w:val="auto"/>
                      <w:sz w:val="21"/>
                      <w:szCs w:val="21"/>
                      <w:highlight w:val="none"/>
                    </w:rPr>
                    <w:t>给水</w:t>
                  </w:r>
                </w:p>
              </w:tc>
              <w:tc>
                <w:tcPr>
                  <w:tcW w:w="160" w:type="pct"/>
                  <w:vAlign w:val="center"/>
                </w:tcPr>
                <w:p w14:paraId="3FF47A5F">
                  <w:pPr>
                    <w:spacing w:line="240" w:lineRule="auto"/>
                    <w:ind w:firstLine="0" w:firstLineChars="0"/>
                    <w:jc w:val="center"/>
                    <w:rPr>
                      <w:rFonts w:hint="eastAsia" w:eastAsia="宋体"/>
                      <w:snapToGrid w:val="0"/>
                      <w:color w:val="auto"/>
                      <w:sz w:val="21"/>
                      <w:szCs w:val="21"/>
                      <w:highlight w:val="none"/>
                      <w:lang w:eastAsia="zh-CN"/>
                    </w:rPr>
                  </w:pPr>
                  <w:r>
                    <w:rPr>
                      <w:rFonts w:hint="eastAsia"/>
                      <w:snapToGrid w:val="0"/>
                      <w:color w:val="auto"/>
                      <w:sz w:val="21"/>
                      <w:szCs w:val="21"/>
                      <w:highlight w:val="none"/>
                      <w:lang w:val="en-US" w:eastAsia="zh-CN"/>
                    </w:rPr>
                    <w:t>/</w:t>
                  </w:r>
                </w:p>
              </w:tc>
              <w:tc>
                <w:tcPr>
                  <w:tcW w:w="3866" w:type="pct"/>
                  <w:gridSpan w:val="3"/>
                  <w:vAlign w:val="center"/>
                </w:tcPr>
                <w:p w14:paraId="761E71E9">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施工期生活用水和施工用水就近依托村镇管网用水</w:t>
                  </w:r>
                </w:p>
              </w:tc>
            </w:tr>
            <w:tr w14:paraId="2DDFD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223E0900">
                  <w:pPr>
                    <w:spacing w:line="240" w:lineRule="auto"/>
                    <w:ind w:firstLine="0" w:firstLineChars="0"/>
                    <w:jc w:val="center"/>
                    <w:rPr>
                      <w:snapToGrid w:val="0"/>
                      <w:color w:val="auto"/>
                      <w:sz w:val="21"/>
                      <w:szCs w:val="21"/>
                      <w:highlight w:val="none"/>
                    </w:rPr>
                  </w:pPr>
                </w:p>
              </w:tc>
              <w:tc>
                <w:tcPr>
                  <w:tcW w:w="743" w:type="pct"/>
                  <w:gridSpan w:val="3"/>
                  <w:vAlign w:val="center"/>
                </w:tcPr>
                <w:p w14:paraId="35A4F063">
                  <w:pPr>
                    <w:spacing w:line="240" w:lineRule="auto"/>
                    <w:ind w:firstLine="0" w:firstLineChars="0"/>
                    <w:jc w:val="center"/>
                    <w:rPr>
                      <w:snapToGrid w:val="0"/>
                      <w:color w:val="auto"/>
                      <w:sz w:val="21"/>
                      <w:szCs w:val="21"/>
                      <w:highlight w:val="none"/>
                    </w:rPr>
                  </w:pPr>
                  <w:r>
                    <w:rPr>
                      <w:snapToGrid w:val="0"/>
                      <w:color w:val="auto"/>
                      <w:sz w:val="21"/>
                      <w:szCs w:val="21"/>
                      <w:highlight w:val="none"/>
                    </w:rPr>
                    <w:t>排水</w:t>
                  </w:r>
                </w:p>
              </w:tc>
              <w:tc>
                <w:tcPr>
                  <w:tcW w:w="160" w:type="pct"/>
                  <w:vAlign w:val="center"/>
                </w:tcPr>
                <w:p w14:paraId="03439B3C">
                  <w:pPr>
                    <w:spacing w:line="240" w:lineRule="auto"/>
                    <w:ind w:firstLine="0" w:firstLineChars="0"/>
                    <w:jc w:val="center"/>
                    <w:rPr>
                      <w:rFonts w:hint="eastAsia" w:eastAsia="宋体"/>
                      <w:snapToGrid w:val="0"/>
                      <w:color w:val="auto"/>
                      <w:sz w:val="21"/>
                      <w:szCs w:val="21"/>
                      <w:highlight w:val="none"/>
                      <w:lang w:val="en-US" w:eastAsia="zh-CN"/>
                    </w:rPr>
                  </w:pPr>
                  <w:r>
                    <w:rPr>
                      <w:rFonts w:hint="eastAsia"/>
                      <w:snapToGrid w:val="0"/>
                      <w:color w:val="auto"/>
                      <w:sz w:val="21"/>
                      <w:szCs w:val="21"/>
                      <w:highlight w:val="none"/>
                      <w:lang w:val="en-US" w:eastAsia="zh-CN"/>
                    </w:rPr>
                    <w:t>/</w:t>
                  </w:r>
                </w:p>
              </w:tc>
              <w:tc>
                <w:tcPr>
                  <w:tcW w:w="3866" w:type="pct"/>
                  <w:gridSpan w:val="3"/>
                  <w:vAlign w:val="center"/>
                </w:tcPr>
                <w:p w14:paraId="56A2159D">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施工生活污水排入防渗旱厕，定期清掏，外运堆肥；</w:t>
                  </w:r>
                </w:p>
                <w:p w14:paraId="40413599">
                  <w:pPr>
                    <w:spacing w:line="240" w:lineRule="auto"/>
                    <w:ind w:firstLine="0" w:firstLineChars="0"/>
                    <w:jc w:val="center"/>
                    <w:rPr>
                      <w:rFonts w:hint="default" w:eastAsia="宋体"/>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施工废水排入沉淀池，经沉淀后回用于生产和厂区洒水抑尘</w:t>
                  </w:r>
                  <w:r>
                    <w:rPr>
                      <w:rFonts w:hint="default" w:ascii="Times New Roman" w:hAnsi="Times New Roman" w:eastAsia="宋体" w:cs="Times New Roman"/>
                      <w:color w:val="auto"/>
                      <w:sz w:val="21"/>
                      <w:szCs w:val="21"/>
                      <w:highlight w:val="none"/>
                      <w:lang w:eastAsia="zh-CN"/>
                    </w:rPr>
                    <w:t>。</w:t>
                  </w:r>
                </w:p>
              </w:tc>
            </w:tr>
            <w:tr w14:paraId="26EA8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29" w:type="pct"/>
                  <w:vMerge w:val="continue"/>
                  <w:vAlign w:val="center"/>
                </w:tcPr>
                <w:p w14:paraId="5D89EB39">
                  <w:pPr>
                    <w:spacing w:line="240" w:lineRule="auto"/>
                    <w:ind w:firstLine="0" w:firstLineChars="0"/>
                    <w:jc w:val="center"/>
                    <w:rPr>
                      <w:snapToGrid w:val="0"/>
                      <w:color w:val="auto"/>
                      <w:sz w:val="21"/>
                      <w:szCs w:val="21"/>
                      <w:highlight w:val="none"/>
                    </w:rPr>
                  </w:pPr>
                </w:p>
              </w:tc>
              <w:tc>
                <w:tcPr>
                  <w:tcW w:w="743" w:type="pct"/>
                  <w:gridSpan w:val="3"/>
                  <w:vAlign w:val="center"/>
                </w:tcPr>
                <w:p w14:paraId="1E9A8CF9">
                  <w:pPr>
                    <w:spacing w:line="240" w:lineRule="auto"/>
                    <w:ind w:firstLine="0" w:firstLineChars="0"/>
                    <w:jc w:val="center"/>
                    <w:rPr>
                      <w:snapToGrid w:val="0"/>
                      <w:color w:val="auto"/>
                      <w:sz w:val="21"/>
                      <w:szCs w:val="21"/>
                      <w:highlight w:val="none"/>
                    </w:rPr>
                  </w:pPr>
                  <w:r>
                    <w:rPr>
                      <w:snapToGrid w:val="0"/>
                      <w:color w:val="auto"/>
                      <w:sz w:val="21"/>
                      <w:szCs w:val="21"/>
                      <w:highlight w:val="none"/>
                    </w:rPr>
                    <w:t>供电</w:t>
                  </w:r>
                </w:p>
              </w:tc>
              <w:tc>
                <w:tcPr>
                  <w:tcW w:w="160" w:type="pct"/>
                  <w:vAlign w:val="center"/>
                </w:tcPr>
                <w:p w14:paraId="2FE2EBD7">
                  <w:pPr>
                    <w:spacing w:line="240" w:lineRule="auto"/>
                    <w:ind w:firstLine="0" w:firstLineChars="0"/>
                    <w:jc w:val="center"/>
                    <w:rPr>
                      <w:snapToGrid w:val="0"/>
                      <w:color w:val="auto"/>
                      <w:sz w:val="21"/>
                      <w:szCs w:val="21"/>
                      <w:highlight w:val="none"/>
                    </w:rPr>
                  </w:pPr>
                  <w:r>
                    <w:rPr>
                      <w:snapToGrid w:val="0"/>
                      <w:color w:val="auto"/>
                      <w:sz w:val="21"/>
                      <w:szCs w:val="21"/>
                      <w:highlight w:val="none"/>
                    </w:rPr>
                    <w:t>/</w:t>
                  </w:r>
                </w:p>
              </w:tc>
              <w:tc>
                <w:tcPr>
                  <w:tcW w:w="3866" w:type="pct"/>
                  <w:gridSpan w:val="3"/>
                  <w:vAlign w:val="center"/>
                </w:tcPr>
                <w:p w14:paraId="51FE603F">
                  <w:pPr>
                    <w:spacing w:line="240" w:lineRule="auto"/>
                    <w:ind w:firstLine="0" w:firstLineChars="0"/>
                    <w:jc w:val="center"/>
                    <w:rPr>
                      <w:color w:val="auto"/>
                      <w:sz w:val="21"/>
                      <w:szCs w:val="21"/>
                      <w:highlight w:val="none"/>
                    </w:rPr>
                  </w:pPr>
                  <w:r>
                    <w:rPr>
                      <w:color w:val="auto"/>
                      <w:sz w:val="21"/>
                      <w:szCs w:val="21"/>
                      <w:highlight w:val="none"/>
                    </w:rPr>
                    <w:t>由当地供电所供电</w:t>
                  </w:r>
                </w:p>
              </w:tc>
            </w:tr>
            <w:tr w14:paraId="35938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52" w:type="pct"/>
                <w:cantSplit/>
                <w:trHeight w:val="90" w:hRule="atLeast"/>
                <w:jc w:val="center"/>
              </w:trPr>
              <w:tc>
                <w:tcPr>
                  <w:tcW w:w="229" w:type="pct"/>
                  <w:vMerge w:val="restart"/>
                  <w:vAlign w:val="center"/>
                </w:tcPr>
                <w:p w14:paraId="52C222C2">
                  <w:pPr>
                    <w:spacing w:line="240" w:lineRule="auto"/>
                    <w:ind w:firstLine="0" w:firstLineChars="0"/>
                    <w:jc w:val="center"/>
                    <w:rPr>
                      <w:snapToGrid w:val="0"/>
                      <w:color w:val="auto"/>
                      <w:sz w:val="21"/>
                      <w:szCs w:val="21"/>
                      <w:highlight w:val="none"/>
                    </w:rPr>
                  </w:pPr>
                  <w:r>
                    <w:rPr>
                      <w:snapToGrid w:val="0"/>
                      <w:color w:val="auto"/>
                      <w:sz w:val="21"/>
                      <w:szCs w:val="21"/>
                      <w:highlight w:val="none"/>
                    </w:rPr>
                    <w:t>环保工程</w:t>
                  </w:r>
                </w:p>
              </w:tc>
              <w:tc>
                <w:tcPr>
                  <w:tcW w:w="213" w:type="pct"/>
                  <w:vAlign w:val="center"/>
                </w:tcPr>
                <w:p w14:paraId="1E3AF0E4">
                  <w:pPr>
                    <w:spacing w:line="240" w:lineRule="auto"/>
                    <w:ind w:firstLine="0" w:firstLineChars="0"/>
                    <w:jc w:val="center"/>
                    <w:rPr>
                      <w:snapToGrid w:val="0"/>
                      <w:color w:val="auto"/>
                      <w:sz w:val="21"/>
                      <w:szCs w:val="21"/>
                      <w:highlight w:val="none"/>
                    </w:rPr>
                  </w:pPr>
                  <w:r>
                    <w:rPr>
                      <w:snapToGrid w:val="0"/>
                      <w:color w:val="auto"/>
                      <w:sz w:val="21"/>
                      <w:szCs w:val="21"/>
                      <w:highlight w:val="none"/>
                    </w:rPr>
                    <w:t>废水</w:t>
                  </w:r>
                </w:p>
              </w:tc>
              <w:tc>
                <w:tcPr>
                  <w:tcW w:w="530" w:type="pct"/>
                  <w:gridSpan w:val="2"/>
                  <w:vAlign w:val="center"/>
                </w:tcPr>
                <w:p w14:paraId="6873E3DB">
                  <w:pPr>
                    <w:spacing w:line="240" w:lineRule="auto"/>
                    <w:ind w:firstLine="0" w:firstLineChars="0"/>
                    <w:jc w:val="center"/>
                    <w:rPr>
                      <w:snapToGrid w:val="0"/>
                      <w:color w:val="auto"/>
                      <w:sz w:val="21"/>
                      <w:szCs w:val="21"/>
                      <w:highlight w:val="none"/>
                    </w:rPr>
                  </w:pPr>
                  <w:r>
                    <w:rPr>
                      <w:snapToGrid w:val="0"/>
                      <w:color w:val="auto"/>
                      <w:sz w:val="21"/>
                      <w:szCs w:val="21"/>
                      <w:highlight w:val="none"/>
                    </w:rPr>
                    <w:t>施工期</w:t>
                  </w:r>
                </w:p>
              </w:tc>
              <w:tc>
                <w:tcPr>
                  <w:tcW w:w="160" w:type="pct"/>
                  <w:vAlign w:val="center"/>
                </w:tcPr>
                <w:p w14:paraId="07A53E39">
                  <w:pPr>
                    <w:spacing w:line="240" w:lineRule="auto"/>
                    <w:ind w:firstLine="0" w:firstLineChars="0"/>
                    <w:jc w:val="center"/>
                    <w:rPr>
                      <w:color w:val="auto"/>
                      <w:sz w:val="21"/>
                      <w:szCs w:val="21"/>
                      <w:highlight w:val="none"/>
                    </w:rPr>
                  </w:pPr>
                  <w:r>
                    <w:rPr>
                      <w:color w:val="auto"/>
                      <w:sz w:val="21"/>
                      <w:szCs w:val="21"/>
                      <w:highlight w:val="none"/>
                    </w:rPr>
                    <w:t>/</w:t>
                  </w:r>
                </w:p>
              </w:tc>
              <w:tc>
                <w:tcPr>
                  <w:tcW w:w="3813" w:type="pct"/>
                  <w:gridSpan w:val="2"/>
                  <w:vAlign w:val="center"/>
                </w:tcPr>
                <w:p w14:paraId="50FEBB30">
                  <w:pPr>
                    <w:spacing w:line="240" w:lineRule="auto"/>
                    <w:ind w:firstLine="0" w:firstLineChars="0"/>
                    <w:jc w:val="left"/>
                    <w:rPr>
                      <w:rFonts w:hint="eastAsia" w:cs="Times New Roman"/>
                      <w:color w:val="auto"/>
                      <w:sz w:val="21"/>
                      <w:szCs w:val="21"/>
                      <w:highlight w:val="none"/>
                      <w:lang w:val="en-US" w:eastAsia="zh-CN"/>
                    </w:rPr>
                  </w:pPr>
                  <w:r>
                    <w:rPr>
                      <w:rFonts w:hint="eastAsia"/>
                      <w:snapToGrid w:val="0"/>
                      <w:color w:val="auto"/>
                      <w:sz w:val="21"/>
                      <w:szCs w:val="21"/>
                      <w:highlight w:val="none"/>
                      <w:lang w:val="en-US" w:eastAsia="zh-CN"/>
                    </w:rPr>
                    <w:t>设置临时</w:t>
                  </w:r>
                  <w:r>
                    <w:rPr>
                      <w:snapToGrid w:val="0"/>
                      <w:color w:val="auto"/>
                      <w:sz w:val="21"/>
                      <w:szCs w:val="21"/>
                      <w:highlight w:val="none"/>
                    </w:rPr>
                    <w:t>生产废水沉淀池</w:t>
                  </w:r>
                  <w:r>
                    <w:rPr>
                      <w:rFonts w:hint="eastAsia"/>
                      <w:snapToGrid w:val="0"/>
                      <w:color w:val="auto"/>
                      <w:sz w:val="21"/>
                      <w:szCs w:val="21"/>
                      <w:highlight w:val="none"/>
                      <w:lang w:val="en-US" w:eastAsia="zh-CN"/>
                    </w:rPr>
                    <w:t>1</w:t>
                  </w:r>
                  <w:r>
                    <w:rPr>
                      <w:snapToGrid w:val="0"/>
                      <w:color w:val="auto"/>
                      <w:sz w:val="21"/>
                      <w:szCs w:val="21"/>
                      <w:highlight w:val="none"/>
                    </w:rPr>
                    <w:t>座</w:t>
                  </w:r>
                  <w:r>
                    <w:rPr>
                      <w:rFonts w:hint="eastAsia"/>
                      <w:snapToGrid w:val="0"/>
                      <w:color w:val="auto"/>
                      <w:sz w:val="21"/>
                      <w:szCs w:val="21"/>
                      <w:highlight w:val="none"/>
                      <w:lang w:eastAsia="zh-CN"/>
                    </w:rPr>
                    <w:t>（</w:t>
                  </w:r>
                  <w:r>
                    <w:rPr>
                      <w:rFonts w:hint="eastAsia"/>
                      <w:snapToGrid w:val="0"/>
                      <w:color w:val="auto"/>
                      <w:sz w:val="21"/>
                      <w:szCs w:val="21"/>
                      <w:highlight w:val="none"/>
                      <w:lang w:val="en-US" w:eastAsia="zh-CN"/>
                    </w:rPr>
                    <w:t>10m</w:t>
                  </w:r>
                  <w:r>
                    <w:rPr>
                      <w:rFonts w:hint="eastAsia"/>
                      <w:snapToGrid w:val="0"/>
                      <w:color w:val="auto"/>
                      <w:sz w:val="21"/>
                      <w:szCs w:val="21"/>
                      <w:highlight w:val="none"/>
                      <w:vertAlign w:val="superscript"/>
                      <w:lang w:val="en-US" w:eastAsia="zh-CN"/>
                    </w:rPr>
                    <w:t>3</w:t>
                  </w:r>
                  <w:r>
                    <w:rPr>
                      <w:rFonts w:hint="eastAsia"/>
                      <w:snapToGrid w:val="0"/>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施工废水排入沉淀池，经沉淀后回用于生产和洒水抑尘</w:t>
                  </w:r>
                  <w:r>
                    <w:rPr>
                      <w:rFonts w:hint="eastAsia" w:cs="Times New Roman"/>
                      <w:color w:val="auto"/>
                      <w:sz w:val="21"/>
                      <w:szCs w:val="21"/>
                      <w:highlight w:val="none"/>
                      <w:lang w:val="en-US" w:eastAsia="zh-CN"/>
                    </w:rPr>
                    <w:t>；</w:t>
                  </w:r>
                </w:p>
                <w:p w14:paraId="3450846D">
                  <w:pPr>
                    <w:spacing w:line="240" w:lineRule="auto"/>
                    <w:ind w:firstLine="0" w:firstLineChars="0"/>
                    <w:jc w:val="left"/>
                    <w:rPr>
                      <w:snapToGrid w:val="0"/>
                      <w:color w:val="auto"/>
                      <w:sz w:val="21"/>
                      <w:szCs w:val="21"/>
                      <w:highlight w:val="none"/>
                    </w:rPr>
                  </w:pPr>
                  <w:r>
                    <w:rPr>
                      <w:rFonts w:hint="default" w:ascii="Times New Roman" w:hAnsi="Times New Roman" w:cs="Times New Roman"/>
                      <w:color w:val="auto"/>
                      <w:sz w:val="21"/>
                      <w:szCs w:val="21"/>
                      <w:highlight w:val="none"/>
                      <w:lang w:val="en-US" w:eastAsia="zh-CN"/>
                    </w:rPr>
                    <w:t>施工生活污水排入防渗旱厕，定期清掏，外运堆肥</w:t>
                  </w:r>
                  <w:r>
                    <w:rPr>
                      <w:rFonts w:hint="eastAsia" w:cs="Times New Roman"/>
                      <w:color w:val="auto"/>
                      <w:sz w:val="21"/>
                      <w:szCs w:val="21"/>
                      <w:highlight w:val="none"/>
                      <w:lang w:val="en-US" w:eastAsia="zh-CN"/>
                    </w:rPr>
                    <w:t>。</w:t>
                  </w:r>
                </w:p>
              </w:tc>
            </w:tr>
            <w:tr w14:paraId="0FD9F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52" w:type="pct"/>
                <w:cantSplit/>
                <w:trHeight w:val="90" w:hRule="atLeast"/>
                <w:jc w:val="center"/>
              </w:trPr>
              <w:tc>
                <w:tcPr>
                  <w:tcW w:w="229" w:type="pct"/>
                  <w:vMerge w:val="continue"/>
                  <w:vAlign w:val="center"/>
                </w:tcPr>
                <w:p w14:paraId="1CC4290A">
                  <w:pPr>
                    <w:spacing w:line="240" w:lineRule="auto"/>
                    <w:ind w:firstLine="0" w:firstLineChars="0"/>
                    <w:jc w:val="center"/>
                    <w:rPr>
                      <w:snapToGrid w:val="0"/>
                      <w:color w:val="auto"/>
                      <w:sz w:val="21"/>
                      <w:szCs w:val="21"/>
                      <w:highlight w:val="none"/>
                    </w:rPr>
                  </w:pPr>
                </w:p>
              </w:tc>
              <w:tc>
                <w:tcPr>
                  <w:tcW w:w="213" w:type="pct"/>
                  <w:vAlign w:val="center"/>
                </w:tcPr>
                <w:p w14:paraId="25827A40">
                  <w:pPr>
                    <w:spacing w:line="240" w:lineRule="auto"/>
                    <w:ind w:firstLine="0" w:firstLineChars="0"/>
                    <w:jc w:val="center"/>
                    <w:rPr>
                      <w:snapToGrid w:val="0"/>
                      <w:color w:val="auto"/>
                      <w:sz w:val="21"/>
                      <w:szCs w:val="21"/>
                      <w:highlight w:val="none"/>
                    </w:rPr>
                  </w:pPr>
                  <w:r>
                    <w:rPr>
                      <w:snapToGrid w:val="0"/>
                      <w:color w:val="auto"/>
                      <w:sz w:val="21"/>
                      <w:szCs w:val="21"/>
                      <w:highlight w:val="none"/>
                    </w:rPr>
                    <w:t>废气</w:t>
                  </w:r>
                </w:p>
              </w:tc>
              <w:tc>
                <w:tcPr>
                  <w:tcW w:w="530" w:type="pct"/>
                  <w:gridSpan w:val="2"/>
                  <w:vAlign w:val="center"/>
                </w:tcPr>
                <w:p w14:paraId="3EE2C2EE">
                  <w:pPr>
                    <w:spacing w:line="240" w:lineRule="auto"/>
                    <w:ind w:firstLine="0" w:firstLineChars="0"/>
                    <w:jc w:val="center"/>
                    <w:rPr>
                      <w:color w:val="auto"/>
                      <w:sz w:val="21"/>
                      <w:szCs w:val="21"/>
                      <w:highlight w:val="none"/>
                    </w:rPr>
                  </w:pPr>
                  <w:r>
                    <w:rPr>
                      <w:color w:val="auto"/>
                      <w:sz w:val="21"/>
                      <w:szCs w:val="21"/>
                      <w:highlight w:val="none"/>
                    </w:rPr>
                    <w:t>施工期</w:t>
                  </w:r>
                </w:p>
              </w:tc>
              <w:tc>
                <w:tcPr>
                  <w:tcW w:w="160" w:type="pct"/>
                  <w:vAlign w:val="center"/>
                </w:tcPr>
                <w:p w14:paraId="5418010E">
                  <w:pPr>
                    <w:spacing w:line="240" w:lineRule="auto"/>
                    <w:ind w:firstLine="0" w:firstLineChars="0"/>
                    <w:jc w:val="center"/>
                    <w:rPr>
                      <w:color w:val="auto"/>
                      <w:sz w:val="21"/>
                      <w:szCs w:val="21"/>
                      <w:highlight w:val="none"/>
                    </w:rPr>
                  </w:pPr>
                  <w:r>
                    <w:rPr>
                      <w:color w:val="auto"/>
                      <w:sz w:val="21"/>
                      <w:szCs w:val="21"/>
                      <w:highlight w:val="none"/>
                    </w:rPr>
                    <w:t>/</w:t>
                  </w:r>
                </w:p>
              </w:tc>
              <w:tc>
                <w:tcPr>
                  <w:tcW w:w="3813" w:type="pct"/>
                  <w:gridSpan w:val="2"/>
                  <w:vAlign w:val="center"/>
                </w:tcPr>
                <w:p w14:paraId="3F82D935">
                  <w:pPr>
                    <w:spacing w:line="240" w:lineRule="auto"/>
                    <w:ind w:firstLine="0" w:firstLineChars="0"/>
                    <w:jc w:val="center"/>
                    <w:rPr>
                      <w:snapToGrid w:val="0"/>
                      <w:color w:val="auto"/>
                      <w:sz w:val="21"/>
                      <w:szCs w:val="21"/>
                      <w:highlight w:val="none"/>
                    </w:rPr>
                  </w:pPr>
                  <w:r>
                    <w:rPr>
                      <w:snapToGrid w:val="0"/>
                      <w:color w:val="auto"/>
                      <w:sz w:val="21"/>
                      <w:szCs w:val="21"/>
                      <w:highlight w:val="none"/>
                    </w:rPr>
                    <w:t>建筑材料</w:t>
                  </w:r>
                  <w:r>
                    <w:rPr>
                      <w:rFonts w:hint="eastAsia"/>
                      <w:snapToGrid w:val="0"/>
                      <w:color w:val="auto"/>
                      <w:sz w:val="21"/>
                      <w:szCs w:val="21"/>
                      <w:highlight w:val="none"/>
                    </w:rPr>
                    <w:t>进行遮盖、设置围挡</w:t>
                  </w:r>
                  <w:r>
                    <w:rPr>
                      <w:snapToGrid w:val="0"/>
                      <w:color w:val="auto"/>
                      <w:sz w:val="21"/>
                      <w:szCs w:val="21"/>
                      <w:highlight w:val="none"/>
                    </w:rPr>
                    <w:t>；</w:t>
                  </w:r>
                  <w:r>
                    <w:rPr>
                      <w:rFonts w:hint="eastAsia"/>
                      <w:snapToGrid w:val="0"/>
                      <w:color w:val="auto"/>
                      <w:sz w:val="21"/>
                      <w:szCs w:val="21"/>
                      <w:highlight w:val="none"/>
                    </w:rPr>
                    <w:t>施工路段采取洒水降尘措施</w:t>
                  </w:r>
                </w:p>
              </w:tc>
            </w:tr>
            <w:tr w14:paraId="04FE7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52" w:type="pct"/>
                <w:cantSplit/>
                <w:trHeight w:val="312" w:hRule="atLeast"/>
                <w:jc w:val="center"/>
              </w:trPr>
              <w:tc>
                <w:tcPr>
                  <w:tcW w:w="229" w:type="pct"/>
                  <w:vMerge w:val="continue"/>
                  <w:vAlign w:val="center"/>
                </w:tcPr>
                <w:p w14:paraId="48736B68">
                  <w:pPr>
                    <w:spacing w:line="240" w:lineRule="auto"/>
                    <w:ind w:firstLine="0" w:firstLineChars="0"/>
                    <w:jc w:val="center"/>
                    <w:rPr>
                      <w:snapToGrid w:val="0"/>
                      <w:color w:val="auto"/>
                      <w:sz w:val="21"/>
                      <w:szCs w:val="21"/>
                      <w:highlight w:val="none"/>
                    </w:rPr>
                  </w:pPr>
                </w:p>
              </w:tc>
              <w:tc>
                <w:tcPr>
                  <w:tcW w:w="213" w:type="pct"/>
                  <w:vMerge w:val="restart"/>
                  <w:vAlign w:val="center"/>
                </w:tcPr>
                <w:p w14:paraId="26CDF0CE">
                  <w:pPr>
                    <w:spacing w:line="240" w:lineRule="auto"/>
                    <w:ind w:firstLine="0" w:firstLineChars="0"/>
                    <w:jc w:val="center"/>
                    <w:rPr>
                      <w:snapToGrid w:val="0"/>
                      <w:color w:val="auto"/>
                      <w:sz w:val="21"/>
                      <w:szCs w:val="21"/>
                      <w:highlight w:val="none"/>
                    </w:rPr>
                  </w:pPr>
                  <w:r>
                    <w:rPr>
                      <w:snapToGrid w:val="0"/>
                      <w:color w:val="auto"/>
                      <w:sz w:val="21"/>
                      <w:szCs w:val="21"/>
                      <w:highlight w:val="none"/>
                    </w:rPr>
                    <w:t>固废</w:t>
                  </w:r>
                </w:p>
              </w:tc>
              <w:tc>
                <w:tcPr>
                  <w:tcW w:w="530" w:type="pct"/>
                  <w:gridSpan w:val="2"/>
                  <w:vAlign w:val="center"/>
                </w:tcPr>
                <w:p w14:paraId="21F8A7C0">
                  <w:pPr>
                    <w:spacing w:line="240" w:lineRule="auto"/>
                    <w:ind w:firstLine="0" w:firstLineChars="0"/>
                    <w:jc w:val="center"/>
                    <w:rPr>
                      <w:color w:val="auto"/>
                      <w:sz w:val="21"/>
                      <w:szCs w:val="21"/>
                      <w:highlight w:val="none"/>
                    </w:rPr>
                  </w:pPr>
                  <w:r>
                    <w:rPr>
                      <w:color w:val="auto"/>
                      <w:sz w:val="21"/>
                      <w:szCs w:val="21"/>
                      <w:highlight w:val="none"/>
                    </w:rPr>
                    <w:t>施工期</w:t>
                  </w:r>
                </w:p>
              </w:tc>
              <w:tc>
                <w:tcPr>
                  <w:tcW w:w="160" w:type="pct"/>
                  <w:vAlign w:val="center"/>
                </w:tcPr>
                <w:p w14:paraId="18E9D6F7">
                  <w:pPr>
                    <w:spacing w:line="240" w:lineRule="auto"/>
                    <w:ind w:firstLine="0" w:firstLineChars="0"/>
                    <w:jc w:val="center"/>
                    <w:rPr>
                      <w:color w:val="auto"/>
                      <w:sz w:val="21"/>
                      <w:szCs w:val="21"/>
                      <w:highlight w:val="none"/>
                    </w:rPr>
                  </w:pPr>
                  <w:r>
                    <w:rPr>
                      <w:color w:val="auto"/>
                      <w:sz w:val="21"/>
                      <w:szCs w:val="21"/>
                      <w:highlight w:val="none"/>
                    </w:rPr>
                    <w:t>/</w:t>
                  </w:r>
                </w:p>
              </w:tc>
              <w:tc>
                <w:tcPr>
                  <w:tcW w:w="3813" w:type="pct"/>
                  <w:gridSpan w:val="2"/>
                  <w:vAlign w:val="center"/>
                </w:tcPr>
                <w:p w14:paraId="282859E3">
                  <w:pPr>
                    <w:spacing w:line="240" w:lineRule="auto"/>
                    <w:ind w:firstLine="0" w:firstLineChars="0"/>
                    <w:jc w:val="center"/>
                    <w:rPr>
                      <w:snapToGrid w:val="0"/>
                      <w:color w:val="auto"/>
                      <w:sz w:val="21"/>
                      <w:szCs w:val="21"/>
                      <w:highlight w:val="none"/>
                    </w:rPr>
                  </w:pPr>
                  <w:r>
                    <w:rPr>
                      <w:snapToGrid w:val="0"/>
                      <w:color w:val="auto"/>
                      <w:sz w:val="21"/>
                      <w:szCs w:val="21"/>
                      <w:highlight w:val="none"/>
                    </w:rPr>
                    <w:t>生活垃圾集中收集，</w:t>
                  </w:r>
                  <w:r>
                    <w:rPr>
                      <w:rFonts w:hint="eastAsia"/>
                      <w:snapToGrid w:val="0"/>
                      <w:color w:val="auto"/>
                      <w:sz w:val="21"/>
                      <w:szCs w:val="21"/>
                      <w:highlight w:val="none"/>
                    </w:rPr>
                    <w:t>由环卫部门统一处置</w:t>
                  </w:r>
                </w:p>
              </w:tc>
            </w:tr>
            <w:tr w14:paraId="1E9F5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52" w:type="pct"/>
                <w:cantSplit/>
                <w:trHeight w:val="272" w:hRule="atLeast"/>
                <w:jc w:val="center"/>
              </w:trPr>
              <w:tc>
                <w:tcPr>
                  <w:tcW w:w="229" w:type="pct"/>
                  <w:vMerge w:val="continue"/>
                  <w:vAlign w:val="center"/>
                </w:tcPr>
                <w:p w14:paraId="3EF2F470">
                  <w:pPr>
                    <w:spacing w:line="240" w:lineRule="auto"/>
                    <w:ind w:firstLine="0" w:firstLineChars="0"/>
                    <w:jc w:val="center"/>
                    <w:rPr>
                      <w:snapToGrid w:val="0"/>
                      <w:color w:val="auto"/>
                      <w:sz w:val="21"/>
                      <w:szCs w:val="21"/>
                      <w:highlight w:val="none"/>
                    </w:rPr>
                  </w:pPr>
                </w:p>
              </w:tc>
              <w:tc>
                <w:tcPr>
                  <w:tcW w:w="213" w:type="pct"/>
                  <w:vMerge w:val="continue"/>
                  <w:vAlign w:val="center"/>
                </w:tcPr>
                <w:p w14:paraId="1C80B2E5">
                  <w:pPr>
                    <w:spacing w:line="240" w:lineRule="auto"/>
                    <w:ind w:firstLine="0" w:firstLineChars="0"/>
                    <w:jc w:val="center"/>
                    <w:rPr>
                      <w:snapToGrid w:val="0"/>
                      <w:color w:val="auto"/>
                      <w:sz w:val="21"/>
                      <w:szCs w:val="21"/>
                      <w:highlight w:val="none"/>
                    </w:rPr>
                  </w:pPr>
                </w:p>
              </w:tc>
              <w:tc>
                <w:tcPr>
                  <w:tcW w:w="530" w:type="pct"/>
                  <w:gridSpan w:val="2"/>
                  <w:vAlign w:val="center"/>
                </w:tcPr>
                <w:p w14:paraId="21C269E3">
                  <w:pPr>
                    <w:spacing w:line="240" w:lineRule="auto"/>
                    <w:ind w:firstLine="0" w:firstLineChars="0"/>
                    <w:jc w:val="center"/>
                    <w:rPr>
                      <w:color w:val="auto"/>
                      <w:sz w:val="21"/>
                      <w:szCs w:val="21"/>
                      <w:highlight w:val="none"/>
                    </w:rPr>
                  </w:pPr>
                  <w:r>
                    <w:rPr>
                      <w:color w:val="auto"/>
                      <w:sz w:val="21"/>
                      <w:szCs w:val="21"/>
                      <w:highlight w:val="none"/>
                    </w:rPr>
                    <w:t>运营期</w:t>
                  </w:r>
                </w:p>
              </w:tc>
              <w:tc>
                <w:tcPr>
                  <w:tcW w:w="160" w:type="pct"/>
                  <w:vAlign w:val="center"/>
                </w:tcPr>
                <w:p w14:paraId="30002A3A">
                  <w:pPr>
                    <w:spacing w:line="240" w:lineRule="auto"/>
                    <w:ind w:firstLine="0" w:firstLineChars="0"/>
                    <w:jc w:val="center"/>
                    <w:rPr>
                      <w:color w:val="auto"/>
                      <w:sz w:val="21"/>
                      <w:szCs w:val="21"/>
                      <w:highlight w:val="none"/>
                    </w:rPr>
                  </w:pPr>
                  <w:r>
                    <w:rPr>
                      <w:color w:val="auto"/>
                      <w:sz w:val="21"/>
                      <w:szCs w:val="21"/>
                      <w:highlight w:val="none"/>
                    </w:rPr>
                    <w:t>/</w:t>
                  </w:r>
                </w:p>
              </w:tc>
              <w:tc>
                <w:tcPr>
                  <w:tcW w:w="3813" w:type="pct"/>
                  <w:gridSpan w:val="2"/>
                  <w:vAlign w:val="center"/>
                </w:tcPr>
                <w:p w14:paraId="2B6856D5">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lang w:val="en-US" w:eastAsia="zh-CN"/>
                    </w:rPr>
                    <w:t>道路散落固体废物</w:t>
                  </w:r>
                  <w:r>
                    <w:rPr>
                      <w:snapToGrid w:val="0"/>
                      <w:color w:val="auto"/>
                      <w:sz w:val="21"/>
                      <w:szCs w:val="21"/>
                      <w:highlight w:val="none"/>
                    </w:rPr>
                    <w:t>交由市政环卫部门处理</w:t>
                  </w:r>
                </w:p>
              </w:tc>
            </w:tr>
            <w:tr w14:paraId="04493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52" w:type="pct"/>
                <w:cantSplit/>
                <w:trHeight w:val="312" w:hRule="atLeast"/>
                <w:jc w:val="center"/>
              </w:trPr>
              <w:tc>
                <w:tcPr>
                  <w:tcW w:w="229" w:type="pct"/>
                  <w:vMerge w:val="continue"/>
                  <w:vAlign w:val="center"/>
                </w:tcPr>
                <w:p w14:paraId="15C198A4">
                  <w:pPr>
                    <w:spacing w:line="240" w:lineRule="auto"/>
                    <w:ind w:firstLine="0" w:firstLineChars="0"/>
                    <w:jc w:val="center"/>
                    <w:rPr>
                      <w:snapToGrid w:val="0"/>
                      <w:color w:val="auto"/>
                      <w:sz w:val="21"/>
                      <w:szCs w:val="21"/>
                      <w:highlight w:val="none"/>
                    </w:rPr>
                  </w:pPr>
                </w:p>
              </w:tc>
              <w:tc>
                <w:tcPr>
                  <w:tcW w:w="213" w:type="pct"/>
                  <w:vMerge w:val="restart"/>
                  <w:vAlign w:val="center"/>
                </w:tcPr>
                <w:p w14:paraId="5E9904C9">
                  <w:pPr>
                    <w:spacing w:line="240" w:lineRule="auto"/>
                    <w:ind w:firstLine="0" w:firstLineChars="0"/>
                    <w:jc w:val="center"/>
                    <w:rPr>
                      <w:snapToGrid w:val="0"/>
                      <w:color w:val="auto"/>
                      <w:sz w:val="21"/>
                      <w:szCs w:val="21"/>
                      <w:highlight w:val="none"/>
                    </w:rPr>
                  </w:pPr>
                  <w:r>
                    <w:rPr>
                      <w:snapToGrid w:val="0"/>
                      <w:color w:val="auto"/>
                      <w:sz w:val="21"/>
                      <w:szCs w:val="21"/>
                      <w:highlight w:val="none"/>
                    </w:rPr>
                    <w:t>噪声</w:t>
                  </w:r>
                </w:p>
              </w:tc>
              <w:tc>
                <w:tcPr>
                  <w:tcW w:w="530" w:type="pct"/>
                  <w:gridSpan w:val="2"/>
                  <w:vAlign w:val="center"/>
                </w:tcPr>
                <w:p w14:paraId="5F829FA6">
                  <w:pPr>
                    <w:spacing w:line="240" w:lineRule="auto"/>
                    <w:ind w:firstLine="0" w:firstLineChars="0"/>
                    <w:jc w:val="center"/>
                    <w:rPr>
                      <w:color w:val="auto"/>
                      <w:sz w:val="21"/>
                      <w:szCs w:val="21"/>
                      <w:highlight w:val="none"/>
                    </w:rPr>
                  </w:pPr>
                  <w:r>
                    <w:rPr>
                      <w:color w:val="auto"/>
                      <w:sz w:val="21"/>
                      <w:szCs w:val="21"/>
                      <w:highlight w:val="none"/>
                    </w:rPr>
                    <w:t>施工期</w:t>
                  </w:r>
                </w:p>
              </w:tc>
              <w:tc>
                <w:tcPr>
                  <w:tcW w:w="160" w:type="pct"/>
                  <w:vAlign w:val="center"/>
                </w:tcPr>
                <w:p w14:paraId="24CC4749">
                  <w:pPr>
                    <w:spacing w:line="240" w:lineRule="auto"/>
                    <w:ind w:firstLine="0" w:firstLineChars="0"/>
                    <w:jc w:val="center"/>
                    <w:rPr>
                      <w:color w:val="auto"/>
                      <w:sz w:val="21"/>
                      <w:szCs w:val="21"/>
                      <w:highlight w:val="none"/>
                    </w:rPr>
                  </w:pPr>
                  <w:r>
                    <w:rPr>
                      <w:color w:val="auto"/>
                      <w:sz w:val="21"/>
                      <w:szCs w:val="21"/>
                      <w:highlight w:val="none"/>
                    </w:rPr>
                    <w:t>/</w:t>
                  </w:r>
                </w:p>
              </w:tc>
              <w:tc>
                <w:tcPr>
                  <w:tcW w:w="3813" w:type="pct"/>
                  <w:gridSpan w:val="2"/>
                  <w:vAlign w:val="center"/>
                </w:tcPr>
                <w:p w14:paraId="7423C4F6">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超标</w:t>
                  </w:r>
                  <w:r>
                    <w:rPr>
                      <w:snapToGrid w:val="0"/>
                      <w:color w:val="auto"/>
                      <w:sz w:val="21"/>
                      <w:szCs w:val="21"/>
                      <w:highlight w:val="none"/>
                    </w:rPr>
                    <w:t>敏感点所在路段设置</w:t>
                  </w:r>
                  <w:r>
                    <w:rPr>
                      <w:color w:val="auto"/>
                      <w:sz w:val="21"/>
                      <w:szCs w:val="21"/>
                      <w:highlight w:val="none"/>
                    </w:rPr>
                    <w:t>移动式隔声屏障</w:t>
                  </w:r>
                  <w:r>
                    <w:rPr>
                      <w:rFonts w:hint="eastAsia"/>
                      <w:color w:val="auto"/>
                      <w:sz w:val="21"/>
                      <w:szCs w:val="21"/>
                      <w:highlight w:val="none"/>
                    </w:rPr>
                    <w:t>，</w:t>
                  </w:r>
                  <w:r>
                    <w:rPr>
                      <w:rFonts w:hint="eastAsia"/>
                      <w:snapToGrid w:val="0"/>
                      <w:color w:val="auto"/>
                      <w:sz w:val="21"/>
                      <w:szCs w:val="21"/>
                      <w:highlight w:val="none"/>
                    </w:rPr>
                    <w:t>长度覆盖整个环境保护目标，同时两侧各外延50m，高度3m；</w:t>
                  </w:r>
                  <w:r>
                    <w:rPr>
                      <w:color w:val="auto"/>
                      <w:sz w:val="21"/>
                      <w:szCs w:val="21"/>
                      <w:highlight w:val="none"/>
                    </w:rPr>
                    <w:t>设备隔声、减震措施</w:t>
                  </w:r>
                </w:p>
              </w:tc>
            </w:tr>
            <w:tr w14:paraId="714AB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52" w:type="pct"/>
                <w:cantSplit/>
                <w:trHeight w:val="312" w:hRule="atLeast"/>
                <w:jc w:val="center"/>
              </w:trPr>
              <w:tc>
                <w:tcPr>
                  <w:tcW w:w="229" w:type="pct"/>
                  <w:vMerge w:val="continue"/>
                  <w:vAlign w:val="center"/>
                </w:tcPr>
                <w:p w14:paraId="7A3791F0">
                  <w:pPr>
                    <w:spacing w:line="240" w:lineRule="auto"/>
                    <w:ind w:firstLine="0" w:firstLineChars="0"/>
                    <w:jc w:val="center"/>
                    <w:rPr>
                      <w:snapToGrid w:val="0"/>
                      <w:color w:val="auto"/>
                      <w:sz w:val="21"/>
                      <w:szCs w:val="21"/>
                      <w:highlight w:val="none"/>
                    </w:rPr>
                  </w:pPr>
                </w:p>
              </w:tc>
              <w:tc>
                <w:tcPr>
                  <w:tcW w:w="213" w:type="pct"/>
                  <w:vMerge w:val="continue"/>
                  <w:vAlign w:val="center"/>
                </w:tcPr>
                <w:p w14:paraId="37BAE1D1">
                  <w:pPr>
                    <w:spacing w:line="240" w:lineRule="auto"/>
                    <w:ind w:firstLine="0" w:firstLineChars="0"/>
                    <w:jc w:val="center"/>
                    <w:rPr>
                      <w:snapToGrid w:val="0"/>
                      <w:color w:val="auto"/>
                      <w:sz w:val="21"/>
                      <w:szCs w:val="21"/>
                      <w:highlight w:val="none"/>
                    </w:rPr>
                  </w:pPr>
                </w:p>
              </w:tc>
              <w:tc>
                <w:tcPr>
                  <w:tcW w:w="530" w:type="pct"/>
                  <w:gridSpan w:val="2"/>
                  <w:vAlign w:val="center"/>
                </w:tcPr>
                <w:p w14:paraId="703E7B64">
                  <w:pPr>
                    <w:spacing w:line="240" w:lineRule="auto"/>
                    <w:ind w:firstLine="0" w:firstLineChars="0"/>
                    <w:jc w:val="center"/>
                    <w:rPr>
                      <w:color w:val="auto"/>
                      <w:sz w:val="21"/>
                      <w:szCs w:val="21"/>
                      <w:highlight w:val="none"/>
                    </w:rPr>
                  </w:pPr>
                  <w:r>
                    <w:rPr>
                      <w:color w:val="auto"/>
                      <w:sz w:val="21"/>
                      <w:szCs w:val="21"/>
                      <w:highlight w:val="none"/>
                    </w:rPr>
                    <w:t>运营期</w:t>
                  </w:r>
                </w:p>
              </w:tc>
              <w:tc>
                <w:tcPr>
                  <w:tcW w:w="160" w:type="pct"/>
                  <w:vAlign w:val="center"/>
                </w:tcPr>
                <w:p w14:paraId="00F06692">
                  <w:pPr>
                    <w:spacing w:line="240" w:lineRule="auto"/>
                    <w:ind w:firstLine="0" w:firstLineChars="0"/>
                    <w:jc w:val="center"/>
                    <w:rPr>
                      <w:color w:val="auto"/>
                      <w:sz w:val="21"/>
                      <w:szCs w:val="21"/>
                      <w:highlight w:val="none"/>
                    </w:rPr>
                  </w:pPr>
                  <w:r>
                    <w:rPr>
                      <w:color w:val="auto"/>
                      <w:sz w:val="21"/>
                      <w:szCs w:val="21"/>
                      <w:highlight w:val="none"/>
                    </w:rPr>
                    <w:t>/</w:t>
                  </w:r>
                </w:p>
              </w:tc>
              <w:tc>
                <w:tcPr>
                  <w:tcW w:w="3813" w:type="pct"/>
                  <w:gridSpan w:val="2"/>
                  <w:vAlign w:val="center"/>
                </w:tcPr>
                <w:p w14:paraId="3D2C441F">
                  <w:pPr>
                    <w:spacing w:line="240" w:lineRule="auto"/>
                    <w:ind w:firstLine="0" w:firstLineChars="0"/>
                    <w:jc w:val="center"/>
                    <w:rPr>
                      <w:snapToGrid w:val="0"/>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安装限速标志、禁止鸣笛标志</w:t>
                  </w:r>
                </w:p>
              </w:tc>
            </w:tr>
            <w:tr w14:paraId="76EC7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52" w:type="pct"/>
                <w:cantSplit/>
                <w:trHeight w:val="312" w:hRule="atLeast"/>
                <w:jc w:val="center"/>
              </w:trPr>
              <w:tc>
                <w:tcPr>
                  <w:tcW w:w="229" w:type="pct"/>
                  <w:vMerge w:val="continue"/>
                  <w:vAlign w:val="center"/>
                </w:tcPr>
                <w:p w14:paraId="549C46DF">
                  <w:pPr>
                    <w:spacing w:line="240" w:lineRule="auto"/>
                    <w:ind w:firstLine="0" w:firstLineChars="0"/>
                    <w:jc w:val="center"/>
                    <w:rPr>
                      <w:snapToGrid w:val="0"/>
                      <w:color w:val="auto"/>
                      <w:sz w:val="21"/>
                      <w:szCs w:val="21"/>
                      <w:highlight w:val="none"/>
                    </w:rPr>
                  </w:pPr>
                </w:p>
              </w:tc>
              <w:tc>
                <w:tcPr>
                  <w:tcW w:w="213" w:type="pct"/>
                  <w:vAlign w:val="center"/>
                </w:tcPr>
                <w:p w14:paraId="1E45E96C">
                  <w:pPr>
                    <w:spacing w:line="240" w:lineRule="auto"/>
                    <w:ind w:firstLine="0" w:firstLineChars="0"/>
                    <w:jc w:val="center"/>
                    <w:rPr>
                      <w:snapToGrid w:val="0"/>
                      <w:color w:val="auto"/>
                      <w:sz w:val="21"/>
                      <w:szCs w:val="21"/>
                      <w:highlight w:val="none"/>
                    </w:rPr>
                  </w:pPr>
                  <w:r>
                    <w:rPr>
                      <w:snapToGrid w:val="0"/>
                      <w:color w:val="auto"/>
                      <w:sz w:val="21"/>
                      <w:szCs w:val="21"/>
                      <w:highlight w:val="none"/>
                    </w:rPr>
                    <w:t>风险</w:t>
                  </w:r>
                </w:p>
              </w:tc>
              <w:tc>
                <w:tcPr>
                  <w:tcW w:w="530" w:type="pct"/>
                  <w:gridSpan w:val="2"/>
                  <w:vAlign w:val="center"/>
                </w:tcPr>
                <w:p w14:paraId="7B3B69FD">
                  <w:pPr>
                    <w:spacing w:line="240" w:lineRule="auto"/>
                    <w:ind w:firstLine="0" w:firstLineChars="0"/>
                    <w:jc w:val="center"/>
                    <w:rPr>
                      <w:color w:val="auto"/>
                      <w:sz w:val="21"/>
                      <w:szCs w:val="21"/>
                      <w:highlight w:val="none"/>
                    </w:rPr>
                  </w:pPr>
                  <w:r>
                    <w:rPr>
                      <w:color w:val="auto"/>
                      <w:sz w:val="21"/>
                      <w:szCs w:val="21"/>
                      <w:highlight w:val="none"/>
                    </w:rPr>
                    <w:t>运营期</w:t>
                  </w:r>
                </w:p>
              </w:tc>
              <w:tc>
                <w:tcPr>
                  <w:tcW w:w="160" w:type="pct"/>
                  <w:vAlign w:val="center"/>
                </w:tcPr>
                <w:p w14:paraId="7AC82D2A">
                  <w:pPr>
                    <w:spacing w:line="240" w:lineRule="auto"/>
                    <w:ind w:firstLine="0" w:firstLineChars="0"/>
                    <w:jc w:val="center"/>
                    <w:rPr>
                      <w:color w:val="auto"/>
                      <w:sz w:val="21"/>
                      <w:szCs w:val="21"/>
                      <w:highlight w:val="none"/>
                    </w:rPr>
                  </w:pPr>
                  <w:r>
                    <w:rPr>
                      <w:color w:val="auto"/>
                      <w:sz w:val="21"/>
                      <w:szCs w:val="21"/>
                      <w:highlight w:val="none"/>
                    </w:rPr>
                    <w:t>/</w:t>
                  </w:r>
                </w:p>
              </w:tc>
              <w:tc>
                <w:tcPr>
                  <w:tcW w:w="3813" w:type="pct"/>
                  <w:gridSpan w:val="2"/>
                  <w:vAlign w:val="center"/>
                </w:tcPr>
                <w:p w14:paraId="259125B6">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设计交通标志、交通标线等项目，防范交通事故隐患点发生事故</w:t>
                  </w:r>
                </w:p>
              </w:tc>
            </w:tr>
            <w:tr w14:paraId="25580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52" w:type="pct"/>
                <w:cantSplit/>
                <w:trHeight w:val="312" w:hRule="atLeast"/>
                <w:jc w:val="center"/>
              </w:trPr>
              <w:tc>
                <w:tcPr>
                  <w:tcW w:w="229" w:type="pct"/>
                  <w:vMerge w:val="continue"/>
                  <w:vAlign w:val="center"/>
                </w:tcPr>
                <w:p w14:paraId="0B28807C">
                  <w:pPr>
                    <w:spacing w:line="240" w:lineRule="auto"/>
                    <w:ind w:firstLine="0" w:firstLineChars="0"/>
                    <w:jc w:val="center"/>
                    <w:rPr>
                      <w:snapToGrid w:val="0"/>
                      <w:color w:val="auto"/>
                      <w:sz w:val="21"/>
                      <w:szCs w:val="21"/>
                      <w:highlight w:val="none"/>
                    </w:rPr>
                  </w:pPr>
                </w:p>
              </w:tc>
              <w:tc>
                <w:tcPr>
                  <w:tcW w:w="213" w:type="pct"/>
                  <w:vAlign w:val="center"/>
                </w:tcPr>
                <w:p w14:paraId="3BA12536">
                  <w:pPr>
                    <w:spacing w:line="240" w:lineRule="auto"/>
                    <w:ind w:firstLine="0" w:firstLineChars="0"/>
                    <w:jc w:val="center"/>
                    <w:rPr>
                      <w:snapToGrid w:val="0"/>
                      <w:color w:val="auto"/>
                      <w:sz w:val="21"/>
                      <w:szCs w:val="21"/>
                      <w:highlight w:val="none"/>
                    </w:rPr>
                  </w:pPr>
                  <w:r>
                    <w:rPr>
                      <w:snapToGrid w:val="0"/>
                      <w:color w:val="auto"/>
                      <w:sz w:val="21"/>
                      <w:szCs w:val="21"/>
                      <w:highlight w:val="none"/>
                    </w:rPr>
                    <w:t>生态</w:t>
                  </w:r>
                </w:p>
              </w:tc>
              <w:tc>
                <w:tcPr>
                  <w:tcW w:w="530" w:type="pct"/>
                  <w:gridSpan w:val="2"/>
                  <w:vAlign w:val="center"/>
                </w:tcPr>
                <w:p w14:paraId="503F8344">
                  <w:pPr>
                    <w:spacing w:line="240" w:lineRule="auto"/>
                    <w:ind w:firstLine="0" w:firstLineChars="0"/>
                    <w:jc w:val="center"/>
                    <w:rPr>
                      <w:snapToGrid w:val="0"/>
                      <w:color w:val="auto"/>
                      <w:sz w:val="21"/>
                      <w:szCs w:val="21"/>
                      <w:highlight w:val="none"/>
                    </w:rPr>
                  </w:pPr>
                  <w:r>
                    <w:rPr>
                      <w:snapToGrid w:val="0"/>
                      <w:color w:val="auto"/>
                      <w:sz w:val="21"/>
                      <w:szCs w:val="21"/>
                      <w:highlight w:val="none"/>
                    </w:rPr>
                    <w:t>公路及附属工程绿化</w:t>
                  </w:r>
                </w:p>
              </w:tc>
              <w:tc>
                <w:tcPr>
                  <w:tcW w:w="160" w:type="pct"/>
                  <w:vAlign w:val="center"/>
                </w:tcPr>
                <w:p w14:paraId="092C760F">
                  <w:pPr>
                    <w:spacing w:line="240" w:lineRule="auto"/>
                    <w:ind w:firstLine="0" w:firstLineChars="0"/>
                    <w:jc w:val="center"/>
                    <w:rPr>
                      <w:color w:val="auto"/>
                      <w:sz w:val="21"/>
                      <w:szCs w:val="21"/>
                      <w:highlight w:val="none"/>
                    </w:rPr>
                  </w:pPr>
                  <w:r>
                    <w:rPr>
                      <w:color w:val="auto"/>
                      <w:sz w:val="21"/>
                      <w:szCs w:val="21"/>
                      <w:highlight w:val="none"/>
                    </w:rPr>
                    <w:t>/</w:t>
                  </w:r>
                </w:p>
              </w:tc>
              <w:tc>
                <w:tcPr>
                  <w:tcW w:w="3813" w:type="pct"/>
                  <w:gridSpan w:val="2"/>
                  <w:vAlign w:val="center"/>
                </w:tcPr>
                <w:p w14:paraId="129FE803">
                  <w:pPr>
                    <w:spacing w:line="240" w:lineRule="auto"/>
                    <w:ind w:firstLine="0" w:firstLineChars="0"/>
                    <w:jc w:val="center"/>
                    <w:rPr>
                      <w:color w:val="auto"/>
                      <w:sz w:val="21"/>
                      <w:szCs w:val="21"/>
                      <w:highlight w:val="none"/>
                    </w:rPr>
                  </w:pPr>
                  <w:r>
                    <w:rPr>
                      <w:rFonts w:hint="eastAsia"/>
                      <w:color w:val="auto"/>
                      <w:sz w:val="21"/>
                      <w:szCs w:val="21"/>
                      <w:highlight w:val="none"/>
                    </w:rPr>
                    <w:t>设置边坡植草防护，绿化布置采用草坪为主</w:t>
                  </w:r>
                </w:p>
              </w:tc>
            </w:tr>
          </w:tbl>
          <w:p w14:paraId="039335DB">
            <w:pPr>
              <w:adjustRightInd w:val="0"/>
              <w:snapToGrid w:val="0"/>
              <w:spacing w:line="480" w:lineRule="exact"/>
              <w:ind w:firstLine="482"/>
              <w:rPr>
                <w:b/>
                <w:color w:val="auto"/>
                <w:highlight w:val="none"/>
              </w:rPr>
            </w:pPr>
            <w:r>
              <w:rPr>
                <w:b/>
                <w:color w:val="auto"/>
                <w:highlight w:val="none"/>
              </w:rPr>
              <w:t>2、</w:t>
            </w:r>
            <w:r>
              <w:rPr>
                <w:rFonts w:hint="eastAsia"/>
                <w:b/>
                <w:color w:val="auto"/>
                <w:highlight w:val="none"/>
              </w:rPr>
              <w:t>主要技术标准</w:t>
            </w:r>
          </w:p>
          <w:p w14:paraId="7B424C0E">
            <w:pPr>
              <w:adjustRightInd w:val="0"/>
              <w:snapToGrid w:val="0"/>
              <w:spacing w:line="480" w:lineRule="exact"/>
              <w:ind w:firstLine="480"/>
              <w:rPr>
                <w:color w:val="auto"/>
                <w:highlight w:val="none"/>
              </w:rPr>
            </w:pPr>
            <w:r>
              <w:rPr>
                <w:rFonts w:hint="eastAsia"/>
                <w:color w:val="auto"/>
                <w:highlight w:val="none"/>
              </w:rPr>
              <w:t>本项目主要技术标准一览表详见表2-</w:t>
            </w:r>
            <w:r>
              <w:rPr>
                <w:rFonts w:hint="eastAsia"/>
                <w:color w:val="auto"/>
                <w:highlight w:val="none"/>
                <w:lang w:val="en-US" w:eastAsia="zh-CN"/>
              </w:rPr>
              <w:t>2</w:t>
            </w:r>
            <w:r>
              <w:rPr>
                <w:color w:val="auto"/>
                <w:highlight w:val="none"/>
              </w:rPr>
              <w:t>。</w:t>
            </w:r>
          </w:p>
          <w:p w14:paraId="6FD22166">
            <w:pPr>
              <w:pStyle w:val="27"/>
              <w:adjustRightInd w:val="0"/>
              <w:snapToGrid w:val="0"/>
              <w:spacing w:line="480" w:lineRule="exact"/>
              <w:ind w:firstLine="200"/>
              <w:rPr>
                <w:rFonts w:hint="default" w:eastAsia="宋体"/>
                <w:b/>
                <w:color w:val="auto"/>
                <w:sz w:val="24"/>
                <w:highlight w:val="none"/>
              </w:rPr>
            </w:pPr>
            <w:r>
              <w:rPr>
                <w:rFonts w:hint="default" w:eastAsia="宋体"/>
                <w:b/>
                <w:color w:val="auto"/>
                <w:sz w:val="24"/>
                <w:highlight w:val="none"/>
              </w:rPr>
              <w:t>表2-</w:t>
            </w:r>
            <w:r>
              <w:rPr>
                <w:rFonts w:hint="eastAsia" w:eastAsia="宋体"/>
                <w:b/>
                <w:color w:val="auto"/>
                <w:sz w:val="24"/>
                <w:highlight w:val="none"/>
                <w:lang w:val="en-US" w:eastAsia="zh-CN"/>
              </w:rPr>
              <w:t>2</w:t>
            </w:r>
            <w:r>
              <w:rPr>
                <w:rFonts w:hint="default" w:eastAsia="宋体"/>
                <w:b/>
                <w:color w:val="auto"/>
                <w:sz w:val="24"/>
                <w:highlight w:val="none"/>
              </w:rPr>
              <w:t xml:space="preserve"> 本项目主要技术经济指标一览表</w:t>
            </w:r>
          </w:p>
          <w:tbl>
            <w:tblPr>
              <w:tblStyle w:val="15"/>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629"/>
              <w:gridCol w:w="1991"/>
              <w:gridCol w:w="1074"/>
              <w:gridCol w:w="524"/>
              <w:gridCol w:w="4173"/>
            </w:tblGrid>
            <w:tr w14:paraId="437687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75" w:type="pct"/>
                  <w:vAlign w:val="center"/>
                </w:tcPr>
                <w:p w14:paraId="676E7C09">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序号</w:t>
                  </w:r>
                </w:p>
              </w:tc>
              <w:tc>
                <w:tcPr>
                  <w:tcW w:w="1826" w:type="pct"/>
                  <w:gridSpan w:val="2"/>
                  <w:vAlign w:val="center"/>
                </w:tcPr>
                <w:p w14:paraId="14638005">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技术指标</w:t>
                  </w:r>
                </w:p>
              </w:tc>
              <w:tc>
                <w:tcPr>
                  <w:tcW w:w="312" w:type="pct"/>
                  <w:vAlign w:val="center"/>
                </w:tcPr>
                <w:p w14:paraId="3FC2602A">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 xml:space="preserve">单 </w:t>
                  </w:r>
                  <w:r>
                    <w:rPr>
                      <w:color w:val="auto"/>
                      <w:spacing w:val="1"/>
                      <w:kern w:val="0"/>
                      <w:sz w:val="21"/>
                      <w:szCs w:val="21"/>
                      <w:highlight w:val="none"/>
                    </w:rPr>
                    <w:t xml:space="preserve"> </w:t>
                  </w:r>
                  <w:r>
                    <w:rPr>
                      <w:color w:val="auto"/>
                      <w:kern w:val="0"/>
                      <w:sz w:val="21"/>
                      <w:szCs w:val="21"/>
                      <w:highlight w:val="none"/>
                    </w:rPr>
                    <w:t>位</w:t>
                  </w:r>
                </w:p>
              </w:tc>
              <w:tc>
                <w:tcPr>
                  <w:tcW w:w="2486" w:type="pct"/>
                  <w:tcBorders>
                    <w:top w:val="single" w:color="auto" w:sz="12" w:space="0"/>
                    <w:left w:val="single" w:color="auto" w:sz="4" w:space="0"/>
                    <w:bottom w:val="single" w:color="auto" w:sz="4" w:space="0"/>
                    <w:right w:val="dotted" w:color="auto" w:sz="4" w:space="0"/>
                  </w:tcBorders>
                  <w:vAlign w:val="center"/>
                </w:tcPr>
                <w:p w14:paraId="2676AD0C">
                  <w:pP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规范指标</w:t>
                  </w:r>
                </w:p>
              </w:tc>
            </w:tr>
            <w:tr w14:paraId="409DA9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6" w:hRule="atLeast"/>
              </w:trPr>
              <w:tc>
                <w:tcPr>
                  <w:tcW w:w="375" w:type="pct"/>
                  <w:vAlign w:val="center"/>
                </w:tcPr>
                <w:p w14:paraId="45EFED90">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1826" w:type="pct"/>
                  <w:gridSpan w:val="2"/>
                  <w:vAlign w:val="center"/>
                </w:tcPr>
                <w:p w14:paraId="279CBEA7">
                  <w:pPr>
                    <w:kinsoku w:val="0"/>
                    <w:overflowPunct w:val="0"/>
                    <w:autoSpaceDE w:val="0"/>
                    <w:autoSpaceDN w:val="0"/>
                    <w:spacing w:line="240" w:lineRule="auto"/>
                    <w:ind w:firstLine="0" w:firstLineChars="0"/>
                    <w:jc w:val="center"/>
                    <w:rPr>
                      <w:color w:val="auto"/>
                      <w:kern w:val="0"/>
                      <w:sz w:val="21"/>
                      <w:szCs w:val="21"/>
                      <w:highlight w:val="none"/>
                    </w:rPr>
                  </w:pPr>
                  <w:r>
                    <w:rPr>
                      <w:color w:val="auto"/>
                      <w:spacing w:val="-1"/>
                      <w:kern w:val="0"/>
                      <w:sz w:val="21"/>
                      <w:szCs w:val="21"/>
                      <w:highlight w:val="none"/>
                    </w:rPr>
                    <w:t>等级</w:t>
                  </w:r>
                </w:p>
              </w:tc>
              <w:tc>
                <w:tcPr>
                  <w:tcW w:w="312" w:type="pct"/>
                  <w:vAlign w:val="center"/>
                </w:tcPr>
                <w:p w14:paraId="25FE904C">
                  <w:pPr>
                    <w:autoSpaceDE w:val="0"/>
                    <w:autoSpaceDN w:val="0"/>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2486" w:type="pct"/>
                  <w:vAlign w:val="center"/>
                </w:tcPr>
                <w:p w14:paraId="70984CD7">
                  <w:pPr>
                    <w:kinsoku w:val="0"/>
                    <w:overflowPunct w:val="0"/>
                    <w:autoSpaceDE w:val="0"/>
                    <w:autoSpaceDN w:val="0"/>
                    <w:spacing w:line="240" w:lineRule="auto"/>
                    <w:ind w:firstLine="0" w:firstLineChars="0"/>
                    <w:jc w:val="center"/>
                    <w:rPr>
                      <w:color w:val="auto"/>
                      <w:spacing w:val="-1"/>
                      <w:kern w:val="0"/>
                      <w:sz w:val="21"/>
                      <w:szCs w:val="21"/>
                      <w:highlight w:val="none"/>
                    </w:rPr>
                  </w:pPr>
                  <w:r>
                    <w:rPr>
                      <w:rFonts w:hint="eastAsia"/>
                      <w:color w:val="auto"/>
                      <w:spacing w:val="-1"/>
                      <w:kern w:val="0"/>
                      <w:sz w:val="21"/>
                      <w:szCs w:val="21"/>
                      <w:highlight w:val="none"/>
                      <w:lang w:val="en-US" w:eastAsia="zh-CN"/>
                    </w:rPr>
                    <w:t>三</w:t>
                  </w:r>
                  <w:r>
                    <w:rPr>
                      <w:color w:val="auto"/>
                      <w:spacing w:val="-1"/>
                      <w:kern w:val="0"/>
                      <w:sz w:val="21"/>
                      <w:szCs w:val="21"/>
                      <w:highlight w:val="none"/>
                    </w:rPr>
                    <w:t>级公路</w:t>
                  </w:r>
                </w:p>
              </w:tc>
            </w:tr>
            <w:tr w14:paraId="63CF63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75" w:type="pct"/>
                  <w:vAlign w:val="center"/>
                </w:tcPr>
                <w:p w14:paraId="44ECCB2F">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1826" w:type="pct"/>
                  <w:gridSpan w:val="2"/>
                  <w:vAlign w:val="center"/>
                </w:tcPr>
                <w:p w14:paraId="2C2D383E">
                  <w:pPr>
                    <w:kinsoku w:val="0"/>
                    <w:overflowPunct w:val="0"/>
                    <w:autoSpaceDE w:val="0"/>
                    <w:autoSpaceDN w:val="0"/>
                    <w:spacing w:line="240" w:lineRule="auto"/>
                    <w:ind w:firstLine="0" w:firstLineChars="0"/>
                    <w:jc w:val="center"/>
                    <w:rPr>
                      <w:color w:val="auto"/>
                      <w:kern w:val="0"/>
                      <w:sz w:val="21"/>
                      <w:szCs w:val="21"/>
                      <w:highlight w:val="none"/>
                    </w:rPr>
                  </w:pPr>
                  <w:r>
                    <w:rPr>
                      <w:color w:val="auto"/>
                      <w:spacing w:val="-1"/>
                      <w:kern w:val="0"/>
                      <w:sz w:val="21"/>
                      <w:szCs w:val="21"/>
                      <w:highlight w:val="none"/>
                    </w:rPr>
                    <w:t>设计速度</w:t>
                  </w:r>
                </w:p>
              </w:tc>
              <w:tc>
                <w:tcPr>
                  <w:tcW w:w="312" w:type="pct"/>
                  <w:vAlign w:val="center"/>
                </w:tcPr>
                <w:p w14:paraId="1297D127">
                  <w:pPr>
                    <w:kinsoku w:val="0"/>
                    <w:overflowPunct w:val="0"/>
                    <w:autoSpaceDE w:val="0"/>
                    <w:autoSpaceDN w:val="0"/>
                    <w:spacing w:line="240" w:lineRule="auto"/>
                    <w:ind w:firstLine="0" w:firstLineChars="0"/>
                    <w:jc w:val="center"/>
                    <w:rPr>
                      <w:color w:val="auto"/>
                      <w:kern w:val="0"/>
                      <w:sz w:val="21"/>
                      <w:szCs w:val="21"/>
                      <w:highlight w:val="none"/>
                    </w:rPr>
                  </w:pPr>
                  <w:r>
                    <w:rPr>
                      <w:color w:val="auto"/>
                      <w:spacing w:val="-1"/>
                      <w:kern w:val="0"/>
                      <w:sz w:val="21"/>
                      <w:szCs w:val="21"/>
                      <w:highlight w:val="none"/>
                    </w:rPr>
                    <w:t>km/h</w:t>
                  </w:r>
                </w:p>
              </w:tc>
              <w:tc>
                <w:tcPr>
                  <w:tcW w:w="2486" w:type="pct"/>
                  <w:vAlign w:val="center"/>
                </w:tcPr>
                <w:p w14:paraId="548021AD">
                  <w:pPr>
                    <w:kinsoku w:val="0"/>
                    <w:overflowPunct w:val="0"/>
                    <w:autoSpaceDE w:val="0"/>
                    <w:autoSpaceDN w:val="0"/>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30</w:t>
                  </w:r>
                </w:p>
              </w:tc>
            </w:tr>
            <w:tr w14:paraId="1DEED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75" w:type="pct"/>
                  <w:vAlign w:val="center"/>
                </w:tcPr>
                <w:p w14:paraId="3B5AF135">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3</w:t>
                  </w:r>
                </w:p>
              </w:tc>
              <w:tc>
                <w:tcPr>
                  <w:tcW w:w="1826" w:type="pct"/>
                  <w:gridSpan w:val="2"/>
                  <w:vAlign w:val="center"/>
                </w:tcPr>
                <w:p w14:paraId="4A20100E">
                  <w:pPr>
                    <w:kinsoku w:val="0"/>
                    <w:overflowPunct w:val="0"/>
                    <w:autoSpaceDE w:val="0"/>
                    <w:autoSpaceDN w:val="0"/>
                    <w:spacing w:line="240" w:lineRule="auto"/>
                    <w:ind w:firstLine="0" w:firstLineChars="0"/>
                    <w:jc w:val="center"/>
                    <w:rPr>
                      <w:color w:val="auto"/>
                      <w:kern w:val="0"/>
                      <w:sz w:val="21"/>
                      <w:szCs w:val="21"/>
                      <w:highlight w:val="none"/>
                    </w:rPr>
                  </w:pPr>
                  <w:r>
                    <w:rPr>
                      <w:color w:val="auto"/>
                      <w:spacing w:val="-1"/>
                      <w:kern w:val="0"/>
                      <w:sz w:val="21"/>
                      <w:szCs w:val="21"/>
                      <w:highlight w:val="none"/>
                    </w:rPr>
                    <w:t>路基宽度</w:t>
                  </w:r>
                </w:p>
              </w:tc>
              <w:tc>
                <w:tcPr>
                  <w:tcW w:w="312" w:type="pct"/>
                  <w:vAlign w:val="center"/>
                </w:tcPr>
                <w:p w14:paraId="7C29B4B7">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2486" w:type="pct"/>
                  <w:vAlign w:val="center"/>
                </w:tcPr>
                <w:p w14:paraId="2E0393BF">
                  <w:pPr>
                    <w:kinsoku w:val="0"/>
                    <w:overflowPunct w:val="0"/>
                    <w:autoSpaceDE w:val="0"/>
                    <w:autoSpaceDN w:val="0"/>
                    <w:spacing w:line="240" w:lineRule="auto"/>
                    <w:ind w:firstLine="0" w:firstLineChars="0"/>
                    <w:jc w:val="center"/>
                    <w:rPr>
                      <w:rFonts w:hint="default" w:eastAsia="宋体"/>
                      <w:color w:val="auto"/>
                      <w:spacing w:val="-1"/>
                      <w:kern w:val="0"/>
                      <w:sz w:val="21"/>
                      <w:szCs w:val="21"/>
                      <w:highlight w:val="none"/>
                      <w:lang w:val="en-US" w:eastAsia="zh-CN"/>
                    </w:rPr>
                  </w:pPr>
                  <w:r>
                    <w:rPr>
                      <w:rFonts w:hint="eastAsia"/>
                      <w:color w:val="auto"/>
                      <w:spacing w:val="-1"/>
                      <w:kern w:val="0"/>
                      <w:sz w:val="21"/>
                      <w:szCs w:val="21"/>
                      <w:highlight w:val="none"/>
                      <w:lang w:val="en-US" w:eastAsia="zh-CN"/>
                    </w:rPr>
                    <w:t>7.5</w:t>
                  </w:r>
                </w:p>
              </w:tc>
            </w:tr>
            <w:tr w14:paraId="45D799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75" w:type="pct"/>
                  <w:vAlign w:val="center"/>
                </w:tcPr>
                <w:p w14:paraId="7BE999FE">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4</w:t>
                  </w:r>
                </w:p>
              </w:tc>
              <w:tc>
                <w:tcPr>
                  <w:tcW w:w="1826" w:type="pct"/>
                  <w:gridSpan w:val="2"/>
                  <w:vAlign w:val="center"/>
                </w:tcPr>
                <w:p w14:paraId="384C268C">
                  <w:pPr>
                    <w:kinsoku w:val="0"/>
                    <w:overflowPunct w:val="0"/>
                    <w:autoSpaceDE w:val="0"/>
                    <w:autoSpaceDN w:val="0"/>
                    <w:spacing w:line="240" w:lineRule="auto"/>
                    <w:ind w:firstLine="0" w:firstLineChars="0"/>
                    <w:jc w:val="center"/>
                    <w:rPr>
                      <w:color w:val="auto"/>
                      <w:kern w:val="0"/>
                      <w:sz w:val="21"/>
                      <w:szCs w:val="21"/>
                      <w:highlight w:val="none"/>
                    </w:rPr>
                  </w:pPr>
                  <w:r>
                    <w:rPr>
                      <w:color w:val="auto"/>
                      <w:spacing w:val="-1"/>
                      <w:kern w:val="0"/>
                      <w:sz w:val="21"/>
                      <w:szCs w:val="21"/>
                      <w:highlight w:val="none"/>
                    </w:rPr>
                    <w:t>行车道宽度</w:t>
                  </w:r>
                </w:p>
              </w:tc>
              <w:tc>
                <w:tcPr>
                  <w:tcW w:w="312" w:type="pct"/>
                  <w:vAlign w:val="center"/>
                </w:tcPr>
                <w:p w14:paraId="2DF149FD">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2486" w:type="pct"/>
                  <w:vAlign w:val="center"/>
                </w:tcPr>
                <w:p w14:paraId="1EC41014">
                  <w:pPr>
                    <w:kinsoku w:val="0"/>
                    <w:overflowPunct w:val="0"/>
                    <w:autoSpaceDE w:val="0"/>
                    <w:autoSpaceDN w:val="0"/>
                    <w:spacing w:line="240" w:lineRule="auto"/>
                    <w:ind w:firstLine="0" w:firstLineChars="0"/>
                    <w:jc w:val="center"/>
                    <w:rPr>
                      <w:rFonts w:hint="default" w:eastAsia="宋体"/>
                      <w:color w:val="auto"/>
                      <w:spacing w:val="-1"/>
                      <w:kern w:val="0"/>
                      <w:sz w:val="21"/>
                      <w:szCs w:val="21"/>
                      <w:highlight w:val="none"/>
                      <w:lang w:val="en-US" w:eastAsia="zh-CN"/>
                    </w:rPr>
                  </w:pPr>
                  <w:r>
                    <w:rPr>
                      <w:color w:val="auto"/>
                      <w:spacing w:val="-1"/>
                      <w:kern w:val="0"/>
                      <w:sz w:val="21"/>
                      <w:szCs w:val="21"/>
                      <w:highlight w:val="none"/>
                    </w:rPr>
                    <w:t>2×</w:t>
                  </w:r>
                  <w:r>
                    <w:rPr>
                      <w:rFonts w:hint="eastAsia"/>
                      <w:color w:val="auto"/>
                      <w:spacing w:val="-1"/>
                      <w:kern w:val="0"/>
                      <w:sz w:val="21"/>
                      <w:szCs w:val="21"/>
                      <w:highlight w:val="none"/>
                      <w:lang w:val="en-US" w:eastAsia="zh-CN"/>
                    </w:rPr>
                    <w:t>3.25</w:t>
                  </w:r>
                </w:p>
              </w:tc>
            </w:tr>
            <w:tr w14:paraId="731222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75" w:type="pct"/>
                  <w:vAlign w:val="center"/>
                </w:tcPr>
                <w:p w14:paraId="24075616">
                  <w:pPr>
                    <w:kinsoku w:val="0"/>
                    <w:overflowPunct w:val="0"/>
                    <w:autoSpaceDE w:val="0"/>
                    <w:autoSpaceDN w:val="0"/>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5</w:t>
                  </w:r>
                </w:p>
              </w:tc>
              <w:tc>
                <w:tcPr>
                  <w:tcW w:w="1826" w:type="pct"/>
                  <w:gridSpan w:val="2"/>
                  <w:vAlign w:val="center"/>
                </w:tcPr>
                <w:p w14:paraId="58B1A030">
                  <w:pPr>
                    <w:kinsoku w:val="0"/>
                    <w:overflowPunct w:val="0"/>
                    <w:autoSpaceDE w:val="0"/>
                    <w:autoSpaceDN w:val="0"/>
                    <w:spacing w:line="240" w:lineRule="auto"/>
                    <w:ind w:firstLine="0" w:firstLineChars="0"/>
                    <w:jc w:val="center"/>
                    <w:rPr>
                      <w:color w:val="auto"/>
                      <w:kern w:val="0"/>
                      <w:sz w:val="21"/>
                      <w:szCs w:val="21"/>
                      <w:highlight w:val="none"/>
                    </w:rPr>
                  </w:pPr>
                  <w:r>
                    <w:rPr>
                      <w:color w:val="auto"/>
                      <w:spacing w:val="-1"/>
                      <w:kern w:val="0"/>
                      <w:sz w:val="21"/>
                      <w:szCs w:val="21"/>
                      <w:highlight w:val="none"/>
                    </w:rPr>
                    <w:t>土路肩宽度</w:t>
                  </w:r>
                </w:p>
              </w:tc>
              <w:tc>
                <w:tcPr>
                  <w:tcW w:w="312" w:type="pct"/>
                  <w:vAlign w:val="center"/>
                </w:tcPr>
                <w:p w14:paraId="1FFFCFB8">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2486" w:type="pct"/>
                  <w:vAlign w:val="center"/>
                </w:tcPr>
                <w:p w14:paraId="62093CAD">
                  <w:pPr>
                    <w:kinsoku w:val="0"/>
                    <w:overflowPunct w:val="0"/>
                    <w:autoSpaceDE w:val="0"/>
                    <w:autoSpaceDN w:val="0"/>
                    <w:spacing w:line="240" w:lineRule="auto"/>
                    <w:ind w:firstLine="0" w:firstLineChars="0"/>
                    <w:jc w:val="center"/>
                    <w:rPr>
                      <w:rFonts w:hint="default" w:eastAsia="宋体"/>
                      <w:color w:val="auto"/>
                      <w:spacing w:val="-1"/>
                      <w:kern w:val="0"/>
                      <w:sz w:val="21"/>
                      <w:szCs w:val="21"/>
                      <w:highlight w:val="none"/>
                      <w:lang w:val="en-US" w:eastAsia="zh-CN"/>
                    </w:rPr>
                  </w:pPr>
                  <w:r>
                    <w:rPr>
                      <w:color w:val="auto"/>
                      <w:spacing w:val="-1"/>
                      <w:kern w:val="0"/>
                      <w:sz w:val="21"/>
                      <w:szCs w:val="21"/>
                      <w:highlight w:val="none"/>
                    </w:rPr>
                    <w:t>2×</w:t>
                  </w:r>
                  <w:r>
                    <w:rPr>
                      <w:rFonts w:hint="eastAsia"/>
                      <w:color w:val="auto"/>
                      <w:spacing w:val="-1"/>
                      <w:kern w:val="0"/>
                      <w:sz w:val="21"/>
                      <w:szCs w:val="21"/>
                      <w:highlight w:val="none"/>
                      <w:lang w:val="en-US" w:eastAsia="zh-CN"/>
                    </w:rPr>
                    <w:t>0.5</w:t>
                  </w:r>
                </w:p>
              </w:tc>
            </w:tr>
            <w:tr w14:paraId="365506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01" w:type="dxa"/>
                  <w:vAlign w:val="center"/>
                </w:tcPr>
                <w:p w14:paraId="370497DD">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6</w:t>
                  </w:r>
                </w:p>
              </w:tc>
              <w:tc>
                <w:tcPr>
                  <w:tcW w:w="1826" w:type="pct"/>
                  <w:gridSpan w:val="2"/>
                  <w:vAlign w:val="center"/>
                </w:tcPr>
                <w:p w14:paraId="0104802B">
                  <w:pPr>
                    <w:kinsoku w:val="0"/>
                    <w:overflowPunct w:val="0"/>
                    <w:autoSpaceDE w:val="0"/>
                    <w:autoSpaceDN w:val="0"/>
                    <w:spacing w:line="240" w:lineRule="auto"/>
                    <w:ind w:firstLine="0" w:firstLineChars="0"/>
                    <w:jc w:val="center"/>
                    <w:rPr>
                      <w:color w:val="auto"/>
                      <w:kern w:val="0"/>
                      <w:sz w:val="21"/>
                      <w:szCs w:val="21"/>
                      <w:highlight w:val="none"/>
                    </w:rPr>
                  </w:pPr>
                  <w:r>
                    <w:rPr>
                      <w:color w:val="auto"/>
                      <w:spacing w:val="-1"/>
                      <w:kern w:val="0"/>
                      <w:sz w:val="21"/>
                      <w:szCs w:val="21"/>
                      <w:highlight w:val="none"/>
                    </w:rPr>
                    <w:t>圆曲线最小半径</w:t>
                  </w:r>
                </w:p>
              </w:tc>
              <w:tc>
                <w:tcPr>
                  <w:tcW w:w="312" w:type="pct"/>
                  <w:vAlign w:val="center"/>
                </w:tcPr>
                <w:p w14:paraId="2A5FF266">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2486" w:type="pct"/>
                  <w:vAlign w:val="center"/>
                </w:tcPr>
                <w:p w14:paraId="6DC46225">
                  <w:pPr>
                    <w:kinsoku w:val="0"/>
                    <w:overflowPunct w:val="0"/>
                    <w:autoSpaceDE w:val="0"/>
                    <w:autoSpaceDN w:val="0"/>
                    <w:spacing w:line="240" w:lineRule="auto"/>
                    <w:ind w:firstLine="0" w:firstLineChars="0"/>
                    <w:jc w:val="center"/>
                    <w:rPr>
                      <w:color w:val="auto"/>
                      <w:spacing w:val="-1"/>
                      <w:kern w:val="0"/>
                      <w:sz w:val="21"/>
                      <w:szCs w:val="21"/>
                      <w:highlight w:val="none"/>
                    </w:rPr>
                  </w:pPr>
                  <w:r>
                    <w:rPr>
                      <w:rFonts w:hint="eastAsia"/>
                      <w:color w:val="auto"/>
                      <w:spacing w:val="-1"/>
                      <w:kern w:val="0"/>
                      <w:sz w:val="21"/>
                      <w:szCs w:val="21"/>
                      <w:highlight w:val="none"/>
                      <w:lang w:val="en-US" w:eastAsia="zh-CN"/>
                    </w:rPr>
                    <w:t>80</w:t>
                  </w:r>
                </w:p>
              </w:tc>
            </w:tr>
            <w:tr w14:paraId="159848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01" w:type="dxa"/>
                  <w:vAlign w:val="center"/>
                </w:tcPr>
                <w:p w14:paraId="4C1856F3">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7</w:t>
                  </w:r>
                </w:p>
              </w:tc>
              <w:tc>
                <w:tcPr>
                  <w:tcW w:w="1826" w:type="pct"/>
                  <w:gridSpan w:val="2"/>
                  <w:vAlign w:val="center"/>
                </w:tcPr>
                <w:p w14:paraId="7496A198">
                  <w:pPr>
                    <w:kinsoku w:val="0"/>
                    <w:overflowPunct w:val="0"/>
                    <w:autoSpaceDE w:val="0"/>
                    <w:autoSpaceDN w:val="0"/>
                    <w:spacing w:line="240" w:lineRule="auto"/>
                    <w:ind w:firstLine="0" w:firstLineChars="0"/>
                    <w:jc w:val="center"/>
                    <w:rPr>
                      <w:color w:val="auto"/>
                      <w:spacing w:val="-1"/>
                      <w:kern w:val="0"/>
                      <w:sz w:val="21"/>
                      <w:szCs w:val="21"/>
                      <w:highlight w:val="none"/>
                    </w:rPr>
                  </w:pPr>
                  <w:r>
                    <w:rPr>
                      <w:rFonts w:hint="eastAsia"/>
                      <w:color w:val="auto"/>
                      <w:spacing w:val="-1"/>
                      <w:kern w:val="0"/>
                      <w:sz w:val="21"/>
                      <w:szCs w:val="21"/>
                      <w:highlight w:val="none"/>
                    </w:rPr>
                    <w:t>最大超高 6%圆曲线最小半径（极限值）</w:t>
                  </w:r>
                </w:p>
              </w:tc>
              <w:tc>
                <w:tcPr>
                  <w:tcW w:w="312" w:type="pct"/>
                  <w:vAlign w:val="center"/>
                </w:tcPr>
                <w:p w14:paraId="4B396163">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2486" w:type="pct"/>
                  <w:vAlign w:val="center"/>
                </w:tcPr>
                <w:p w14:paraId="6944BCB3">
                  <w:pPr>
                    <w:kinsoku w:val="0"/>
                    <w:overflowPunct w:val="0"/>
                    <w:autoSpaceDE w:val="0"/>
                    <w:autoSpaceDN w:val="0"/>
                    <w:spacing w:line="240" w:lineRule="auto"/>
                    <w:ind w:firstLine="0" w:firstLineChars="0"/>
                    <w:jc w:val="center"/>
                    <w:rPr>
                      <w:rFonts w:hint="default"/>
                      <w:color w:val="auto"/>
                      <w:spacing w:val="-1"/>
                      <w:kern w:val="0"/>
                      <w:sz w:val="21"/>
                      <w:szCs w:val="21"/>
                      <w:highlight w:val="none"/>
                      <w:lang w:val="en-US" w:eastAsia="zh-CN"/>
                    </w:rPr>
                  </w:pPr>
                  <w:r>
                    <w:rPr>
                      <w:rFonts w:hint="eastAsia"/>
                      <w:color w:val="auto"/>
                      <w:spacing w:val="-1"/>
                      <w:kern w:val="0"/>
                      <w:sz w:val="21"/>
                      <w:szCs w:val="21"/>
                      <w:highlight w:val="none"/>
                      <w:lang w:val="en-US" w:eastAsia="zh-CN"/>
                    </w:rPr>
                    <w:t>400</w:t>
                  </w:r>
                </w:p>
              </w:tc>
            </w:tr>
            <w:tr w14:paraId="56DD03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01" w:type="dxa"/>
                  <w:vAlign w:val="center"/>
                </w:tcPr>
                <w:p w14:paraId="15BA5BFE">
                  <w:pPr>
                    <w:kinsoku w:val="0"/>
                    <w:overflowPunct w:val="0"/>
                    <w:autoSpaceDE w:val="0"/>
                    <w:autoSpaceDN w:val="0"/>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8</w:t>
                  </w:r>
                </w:p>
              </w:tc>
              <w:tc>
                <w:tcPr>
                  <w:tcW w:w="1826" w:type="pct"/>
                  <w:gridSpan w:val="2"/>
                  <w:vAlign w:val="center"/>
                </w:tcPr>
                <w:p w14:paraId="2D394437">
                  <w:pPr>
                    <w:kinsoku w:val="0"/>
                    <w:overflowPunct w:val="0"/>
                    <w:autoSpaceDE w:val="0"/>
                    <w:autoSpaceDN w:val="0"/>
                    <w:spacing w:line="240" w:lineRule="auto"/>
                    <w:ind w:firstLine="0" w:firstLineChars="0"/>
                    <w:jc w:val="center"/>
                    <w:rPr>
                      <w:color w:val="auto"/>
                      <w:kern w:val="0"/>
                      <w:sz w:val="21"/>
                      <w:szCs w:val="21"/>
                      <w:highlight w:val="none"/>
                    </w:rPr>
                  </w:pPr>
                  <w:r>
                    <w:rPr>
                      <w:color w:val="auto"/>
                      <w:spacing w:val="-1"/>
                      <w:kern w:val="0"/>
                      <w:sz w:val="21"/>
                      <w:szCs w:val="21"/>
                      <w:highlight w:val="none"/>
                    </w:rPr>
                    <w:t>最大纵坡</w:t>
                  </w:r>
                </w:p>
              </w:tc>
              <w:tc>
                <w:tcPr>
                  <w:tcW w:w="312" w:type="pct"/>
                  <w:vAlign w:val="center"/>
                </w:tcPr>
                <w:p w14:paraId="7DB13028">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w:t>
                  </w:r>
                </w:p>
              </w:tc>
              <w:tc>
                <w:tcPr>
                  <w:tcW w:w="2486" w:type="pct"/>
                  <w:vAlign w:val="center"/>
                </w:tcPr>
                <w:p w14:paraId="6AABDC22">
                  <w:pPr>
                    <w:kinsoku w:val="0"/>
                    <w:overflowPunct w:val="0"/>
                    <w:autoSpaceDE w:val="0"/>
                    <w:autoSpaceDN w:val="0"/>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4.627</w:t>
                  </w:r>
                </w:p>
              </w:tc>
            </w:tr>
            <w:tr w14:paraId="597CB1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01" w:type="dxa"/>
                  <w:vMerge w:val="restart"/>
                  <w:vAlign w:val="center"/>
                </w:tcPr>
                <w:p w14:paraId="6CACE4FC">
                  <w:pPr>
                    <w:kinsoku w:val="0"/>
                    <w:overflowPunct w:val="0"/>
                    <w:autoSpaceDE w:val="0"/>
                    <w:autoSpaceDN w:val="0"/>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9</w:t>
                  </w:r>
                </w:p>
              </w:tc>
              <w:tc>
                <w:tcPr>
                  <w:tcW w:w="1186" w:type="pct"/>
                  <w:vMerge w:val="restart"/>
                  <w:vAlign w:val="center"/>
                </w:tcPr>
                <w:p w14:paraId="1EA2C0B4">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竖曲线最小半径</w:t>
                  </w:r>
                </w:p>
              </w:tc>
              <w:tc>
                <w:tcPr>
                  <w:tcW w:w="640" w:type="pct"/>
                  <w:vAlign w:val="center"/>
                </w:tcPr>
                <w:p w14:paraId="22FBFC1B">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凸型</w:t>
                  </w:r>
                </w:p>
              </w:tc>
              <w:tc>
                <w:tcPr>
                  <w:tcW w:w="312" w:type="pct"/>
                  <w:vMerge w:val="restart"/>
                  <w:vAlign w:val="center"/>
                </w:tcPr>
                <w:p w14:paraId="7BA3AE86">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2486" w:type="pct"/>
                  <w:vAlign w:val="center"/>
                </w:tcPr>
                <w:p w14:paraId="34255C1E">
                  <w:pPr>
                    <w:kinsoku w:val="0"/>
                    <w:overflowPunct w:val="0"/>
                    <w:autoSpaceDE w:val="0"/>
                    <w:autoSpaceDN w:val="0"/>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2761.5023</w:t>
                  </w:r>
                </w:p>
              </w:tc>
            </w:tr>
            <w:tr w14:paraId="242E69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75" w:type="pct"/>
                  <w:vMerge w:val="continue"/>
                  <w:vAlign w:val="center"/>
                </w:tcPr>
                <w:p w14:paraId="56D9B8C0">
                  <w:pPr>
                    <w:kinsoku w:val="0"/>
                    <w:overflowPunct w:val="0"/>
                    <w:autoSpaceDE w:val="0"/>
                    <w:autoSpaceDN w:val="0"/>
                    <w:spacing w:line="240" w:lineRule="auto"/>
                    <w:ind w:firstLine="0" w:firstLineChars="0"/>
                    <w:jc w:val="center"/>
                    <w:rPr>
                      <w:color w:val="auto"/>
                      <w:kern w:val="0"/>
                      <w:sz w:val="21"/>
                      <w:szCs w:val="21"/>
                      <w:highlight w:val="none"/>
                    </w:rPr>
                  </w:pPr>
                </w:p>
              </w:tc>
              <w:tc>
                <w:tcPr>
                  <w:tcW w:w="1186" w:type="pct"/>
                  <w:vMerge w:val="continue"/>
                  <w:vAlign w:val="center"/>
                </w:tcPr>
                <w:p w14:paraId="4BE9394C">
                  <w:pPr>
                    <w:kinsoku w:val="0"/>
                    <w:overflowPunct w:val="0"/>
                    <w:autoSpaceDE w:val="0"/>
                    <w:autoSpaceDN w:val="0"/>
                    <w:spacing w:line="240" w:lineRule="auto"/>
                    <w:ind w:firstLine="0" w:firstLineChars="0"/>
                    <w:jc w:val="center"/>
                    <w:rPr>
                      <w:color w:val="auto"/>
                      <w:kern w:val="0"/>
                      <w:sz w:val="21"/>
                      <w:szCs w:val="21"/>
                      <w:highlight w:val="none"/>
                    </w:rPr>
                  </w:pPr>
                </w:p>
              </w:tc>
              <w:tc>
                <w:tcPr>
                  <w:tcW w:w="640" w:type="pct"/>
                  <w:vAlign w:val="center"/>
                </w:tcPr>
                <w:p w14:paraId="33C11FBE">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凹型</w:t>
                  </w:r>
                </w:p>
              </w:tc>
              <w:tc>
                <w:tcPr>
                  <w:tcW w:w="312" w:type="pct"/>
                  <w:vMerge w:val="continue"/>
                  <w:vAlign w:val="center"/>
                </w:tcPr>
                <w:p w14:paraId="0D7E11A0">
                  <w:pPr>
                    <w:kinsoku w:val="0"/>
                    <w:overflowPunct w:val="0"/>
                    <w:autoSpaceDE w:val="0"/>
                    <w:autoSpaceDN w:val="0"/>
                    <w:spacing w:line="240" w:lineRule="auto"/>
                    <w:ind w:firstLine="0" w:firstLineChars="0"/>
                    <w:jc w:val="center"/>
                    <w:rPr>
                      <w:color w:val="auto"/>
                      <w:kern w:val="0"/>
                      <w:sz w:val="21"/>
                      <w:szCs w:val="21"/>
                      <w:highlight w:val="none"/>
                    </w:rPr>
                  </w:pPr>
                </w:p>
              </w:tc>
              <w:tc>
                <w:tcPr>
                  <w:tcW w:w="2486" w:type="pct"/>
                  <w:vAlign w:val="center"/>
                </w:tcPr>
                <w:p w14:paraId="0DA0D59C">
                  <w:pPr>
                    <w:kinsoku w:val="0"/>
                    <w:overflowPunct w:val="0"/>
                    <w:autoSpaceDE w:val="0"/>
                    <w:autoSpaceDN w:val="0"/>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2800</w:t>
                  </w:r>
                </w:p>
              </w:tc>
            </w:tr>
            <w:tr w14:paraId="69ACDD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01" w:type="dxa"/>
                  <w:vAlign w:val="center"/>
                </w:tcPr>
                <w:p w14:paraId="793EE89F">
                  <w:pPr>
                    <w:kinsoku w:val="0"/>
                    <w:overflowPunct w:val="0"/>
                    <w:autoSpaceDE w:val="0"/>
                    <w:autoSpaceDN w:val="0"/>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1826" w:type="pct"/>
                  <w:gridSpan w:val="2"/>
                  <w:vAlign w:val="center"/>
                </w:tcPr>
                <w:p w14:paraId="5FA6CE7E">
                  <w:pPr>
                    <w:kinsoku w:val="0"/>
                    <w:overflowPunct w:val="0"/>
                    <w:autoSpaceDE w:val="0"/>
                    <w:autoSpaceDN w:val="0"/>
                    <w:spacing w:line="240" w:lineRule="auto"/>
                    <w:ind w:firstLine="0" w:firstLineChars="0"/>
                    <w:jc w:val="center"/>
                    <w:rPr>
                      <w:color w:val="auto"/>
                      <w:kern w:val="0"/>
                      <w:sz w:val="21"/>
                      <w:szCs w:val="21"/>
                      <w:highlight w:val="none"/>
                    </w:rPr>
                  </w:pPr>
                  <w:r>
                    <w:rPr>
                      <w:rFonts w:hint="eastAsia"/>
                      <w:color w:val="auto"/>
                      <w:spacing w:val="-1"/>
                      <w:kern w:val="0"/>
                      <w:sz w:val="21"/>
                      <w:szCs w:val="21"/>
                      <w:highlight w:val="none"/>
                    </w:rPr>
                    <w:t>小桥、涵洞、路基设计洪水频率</w:t>
                  </w:r>
                </w:p>
              </w:tc>
              <w:tc>
                <w:tcPr>
                  <w:tcW w:w="312" w:type="pct"/>
                  <w:vAlign w:val="center"/>
                </w:tcPr>
                <w:p w14:paraId="0F5D6AAF">
                  <w:pPr>
                    <w:autoSpaceDE w:val="0"/>
                    <w:autoSpaceDN w:val="0"/>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2486" w:type="pct"/>
                  <w:vAlign w:val="center"/>
                </w:tcPr>
                <w:p w14:paraId="28873624">
                  <w:pPr>
                    <w:kinsoku w:val="0"/>
                    <w:overflowPunct w:val="0"/>
                    <w:autoSpaceDE w:val="0"/>
                    <w:autoSpaceDN w:val="0"/>
                    <w:spacing w:line="240" w:lineRule="auto"/>
                    <w:ind w:firstLine="0" w:firstLineChars="0"/>
                    <w:jc w:val="center"/>
                    <w:rPr>
                      <w:color w:val="auto"/>
                      <w:kern w:val="0"/>
                      <w:sz w:val="21"/>
                      <w:szCs w:val="21"/>
                      <w:highlight w:val="none"/>
                    </w:rPr>
                  </w:pPr>
                  <w:r>
                    <w:rPr>
                      <w:color w:val="auto"/>
                      <w:spacing w:val="-1"/>
                      <w:kern w:val="0"/>
                      <w:sz w:val="21"/>
                      <w:szCs w:val="21"/>
                      <w:highlight w:val="none"/>
                    </w:rPr>
                    <w:t>1/</w:t>
                  </w:r>
                  <w:r>
                    <w:rPr>
                      <w:rFonts w:hint="eastAsia"/>
                      <w:color w:val="auto"/>
                      <w:spacing w:val="-1"/>
                      <w:kern w:val="0"/>
                      <w:sz w:val="21"/>
                      <w:szCs w:val="21"/>
                      <w:highlight w:val="none"/>
                      <w:lang w:val="en-US" w:eastAsia="zh-CN"/>
                    </w:rPr>
                    <w:t>25</w:t>
                  </w:r>
                </w:p>
              </w:tc>
            </w:tr>
            <w:tr w14:paraId="0679E0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01" w:type="dxa"/>
                  <w:vAlign w:val="center"/>
                </w:tcPr>
                <w:p w14:paraId="044A4178">
                  <w:pPr>
                    <w:kinsoku w:val="0"/>
                    <w:overflowPunct w:val="0"/>
                    <w:autoSpaceDE w:val="0"/>
                    <w:autoSpaceDN w:val="0"/>
                    <w:spacing w:line="240" w:lineRule="auto"/>
                    <w:ind w:firstLine="0" w:firstLineChars="0"/>
                    <w:jc w:val="center"/>
                    <w:rPr>
                      <w:rFonts w:hint="eastAsia" w:eastAsia="宋体"/>
                      <w:color w:val="auto"/>
                      <w:spacing w:val="-1"/>
                      <w:kern w:val="0"/>
                      <w:sz w:val="21"/>
                      <w:szCs w:val="21"/>
                      <w:highlight w:val="none"/>
                      <w:lang w:eastAsia="zh-CN"/>
                    </w:rPr>
                  </w:pPr>
                  <w:r>
                    <w:rPr>
                      <w:color w:val="auto"/>
                      <w:spacing w:val="-1"/>
                      <w:kern w:val="0"/>
                      <w:sz w:val="21"/>
                      <w:szCs w:val="21"/>
                      <w:highlight w:val="none"/>
                    </w:rPr>
                    <w:t>1</w:t>
                  </w:r>
                  <w:r>
                    <w:rPr>
                      <w:rFonts w:hint="eastAsia"/>
                      <w:color w:val="auto"/>
                      <w:spacing w:val="-1"/>
                      <w:kern w:val="0"/>
                      <w:sz w:val="21"/>
                      <w:szCs w:val="21"/>
                      <w:highlight w:val="none"/>
                      <w:lang w:val="en-US" w:eastAsia="zh-CN"/>
                    </w:rPr>
                    <w:t>1</w:t>
                  </w:r>
                </w:p>
              </w:tc>
              <w:tc>
                <w:tcPr>
                  <w:tcW w:w="1826" w:type="pct"/>
                  <w:gridSpan w:val="2"/>
                  <w:vAlign w:val="center"/>
                </w:tcPr>
                <w:p w14:paraId="361416F0">
                  <w:pPr>
                    <w:kinsoku w:val="0"/>
                    <w:overflowPunct w:val="0"/>
                    <w:autoSpaceDE w:val="0"/>
                    <w:autoSpaceDN w:val="0"/>
                    <w:spacing w:line="240" w:lineRule="auto"/>
                    <w:ind w:firstLine="0" w:firstLineChars="0"/>
                    <w:jc w:val="center"/>
                    <w:rPr>
                      <w:color w:val="auto"/>
                      <w:spacing w:val="-1"/>
                      <w:kern w:val="0"/>
                      <w:sz w:val="21"/>
                      <w:szCs w:val="21"/>
                      <w:highlight w:val="none"/>
                    </w:rPr>
                  </w:pPr>
                  <w:r>
                    <w:rPr>
                      <w:color w:val="auto"/>
                      <w:spacing w:val="-1"/>
                      <w:kern w:val="0"/>
                      <w:sz w:val="21"/>
                      <w:szCs w:val="21"/>
                      <w:highlight w:val="none"/>
                    </w:rPr>
                    <w:t>汽车荷载等级</w:t>
                  </w:r>
                </w:p>
              </w:tc>
              <w:tc>
                <w:tcPr>
                  <w:tcW w:w="312" w:type="pct"/>
                  <w:vAlign w:val="center"/>
                </w:tcPr>
                <w:p w14:paraId="2247C25C">
                  <w:pPr>
                    <w:autoSpaceDE w:val="0"/>
                    <w:autoSpaceDN w:val="0"/>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2486" w:type="pct"/>
                  <w:vAlign w:val="center"/>
                </w:tcPr>
                <w:p w14:paraId="1CD1217A">
                  <w:pPr>
                    <w:kinsoku w:val="0"/>
                    <w:overflowPunct w:val="0"/>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公路－</w:t>
                  </w:r>
                  <w:r>
                    <w:rPr>
                      <w:color w:val="auto"/>
                      <w:kern w:val="0"/>
                      <w:sz w:val="21"/>
                      <w:szCs w:val="21"/>
                      <w:highlight w:val="none"/>
                    </w:rPr>
                    <w:fldChar w:fldCharType="begin"/>
                  </w:r>
                  <w:r>
                    <w:rPr>
                      <w:color w:val="auto"/>
                      <w:kern w:val="0"/>
                      <w:sz w:val="21"/>
                      <w:szCs w:val="21"/>
                      <w:highlight w:val="none"/>
                    </w:rPr>
                    <w:instrText xml:space="preserve"> = 2 \* ROMAN \* MERGEFORMAT </w:instrText>
                  </w:r>
                  <w:r>
                    <w:rPr>
                      <w:color w:val="auto"/>
                      <w:kern w:val="0"/>
                      <w:sz w:val="21"/>
                      <w:szCs w:val="21"/>
                      <w:highlight w:val="none"/>
                    </w:rPr>
                    <w:fldChar w:fldCharType="separate"/>
                  </w:r>
                  <w:r>
                    <w:rPr>
                      <w:color w:val="auto"/>
                      <w:highlight w:val="none"/>
                    </w:rPr>
                    <w:t>II</w:t>
                  </w:r>
                  <w:r>
                    <w:rPr>
                      <w:color w:val="auto"/>
                      <w:kern w:val="0"/>
                      <w:sz w:val="21"/>
                      <w:szCs w:val="21"/>
                      <w:highlight w:val="none"/>
                    </w:rPr>
                    <w:fldChar w:fldCharType="end"/>
                  </w:r>
                  <w:r>
                    <w:rPr>
                      <w:color w:val="auto"/>
                      <w:kern w:val="0"/>
                      <w:sz w:val="21"/>
                      <w:szCs w:val="21"/>
                      <w:highlight w:val="none"/>
                    </w:rPr>
                    <w:t>级</w:t>
                  </w:r>
                </w:p>
              </w:tc>
            </w:tr>
            <w:tr w14:paraId="68A1C2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01" w:type="dxa"/>
                  <w:vAlign w:val="center"/>
                </w:tcPr>
                <w:p w14:paraId="5495DD6A">
                  <w:pPr>
                    <w:kinsoku w:val="0"/>
                    <w:overflowPunct w:val="0"/>
                    <w:autoSpaceDE w:val="0"/>
                    <w:autoSpaceDN w:val="0"/>
                    <w:spacing w:line="240" w:lineRule="auto"/>
                    <w:ind w:firstLine="0" w:firstLineChars="0"/>
                    <w:jc w:val="center"/>
                    <w:rPr>
                      <w:rFonts w:hint="eastAsia" w:eastAsia="宋体"/>
                      <w:color w:val="auto"/>
                      <w:spacing w:val="-1"/>
                      <w:kern w:val="0"/>
                      <w:sz w:val="21"/>
                      <w:szCs w:val="21"/>
                      <w:highlight w:val="none"/>
                      <w:lang w:val="en-US" w:eastAsia="zh-CN"/>
                    </w:rPr>
                  </w:pPr>
                  <w:r>
                    <w:rPr>
                      <w:color w:val="auto"/>
                      <w:spacing w:val="-1"/>
                      <w:kern w:val="0"/>
                      <w:sz w:val="21"/>
                      <w:szCs w:val="21"/>
                      <w:highlight w:val="none"/>
                    </w:rPr>
                    <w:t>1</w:t>
                  </w:r>
                  <w:r>
                    <w:rPr>
                      <w:rFonts w:hint="eastAsia"/>
                      <w:color w:val="auto"/>
                      <w:spacing w:val="-1"/>
                      <w:kern w:val="0"/>
                      <w:sz w:val="21"/>
                      <w:szCs w:val="21"/>
                      <w:highlight w:val="none"/>
                      <w:lang w:val="en-US" w:eastAsia="zh-CN"/>
                    </w:rPr>
                    <w:t>2</w:t>
                  </w:r>
                </w:p>
              </w:tc>
              <w:tc>
                <w:tcPr>
                  <w:tcW w:w="1826" w:type="pct"/>
                  <w:gridSpan w:val="2"/>
                  <w:vAlign w:val="center"/>
                </w:tcPr>
                <w:p w14:paraId="21531FB6">
                  <w:pPr>
                    <w:kinsoku w:val="0"/>
                    <w:overflowPunct w:val="0"/>
                    <w:autoSpaceDE w:val="0"/>
                    <w:autoSpaceDN w:val="0"/>
                    <w:spacing w:line="240" w:lineRule="auto"/>
                    <w:ind w:firstLine="0" w:firstLineChars="0"/>
                    <w:jc w:val="center"/>
                    <w:rPr>
                      <w:color w:val="auto"/>
                      <w:spacing w:val="-1"/>
                      <w:kern w:val="0"/>
                      <w:sz w:val="21"/>
                      <w:szCs w:val="21"/>
                      <w:highlight w:val="none"/>
                    </w:rPr>
                  </w:pPr>
                  <w:r>
                    <w:rPr>
                      <w:color w:val="auto"/>
                      <w:spacing w:val="-1"/>
                      <w:kern w:val="0"/>
                      <w:sz w:val="21"/>
                      <w:szCs w:val="21"/>
                      <w:highlight w:val="none"/>
                    </w:rPr>
                    <w:t>停车视距</w:t>
                  </w:r>
                </w:p>
              </w:tc>
              <w:tc>
                <w:tcPr>
                  <w:tcW w:w="312" w:type="pct"/>
                  <w:vAlign w:val="center"/>
                </w:tcPr>
                <w:p w14:paraId="242E1172">
                  <w:pPr>
                    <w:autoSpaceDE w:val="0"/>
                    <w:autoSpaceDN w:val="0"/>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2486" w:type="pct"/>
                  <w:vAlign w:val="center"/>
                </w:tcPr>
                <w:p w14:paraId="4F9E932F">
                  <w:pPr>
                    <w:kinsoku w:val="0"/>
                    <w:overflowPunct w:val="0"/>
                    <w:autoSpaceDE w:val="0"/>
                    <w:autoSpaceDN w:val="0"/>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30</w:t>
                  </w:r>
                </w:p>
              </w:tc>
            </w:tr>
          </w:tbl>
          <w:p w14:paraId="57AF6686">
            <w:pPr>
              <w:spacing w:line="480" w:lineRule="exact"/>
              <w:ind w:firstLine="482"/>
              <w:rPr>
                <w:b/>
                <w:color w:val="auto"/>
                <w:highlight w:val="none"/>
              </w:rPr>
            </w:pPr>
            <w:r>
              <w:rPr>
                <w:rFonts w:hint="eastAsia"/>
                <w:b/>
                <w:color w:val="auto"/>
                <w:highlight w:val="none"/>
              </w:rPr>
              <w:t>3、路基工程</w:t>
            </w:r>
          </w:p>
          <w:p w14:paraId="04B4491B">
            <w:pPr>
              <w:spacing w:line="480" w:lineRule="exact"/>
              <w:ind w:firstLine="480"/>
              <w:rPr>
                <w:color w:val="auto"/>
                <w:highlight w:val="none"/>
              </w:rPr>
            </w:pPr>
            <w:r>
              <w:rPr>
                <w:rFonts w:hint="eastAsia"/>
                <w:color w:val="auto"/>
                <w:highlight w:val="none"/>
              </w:rPr>
              <w:t>（1）路基横断面</w:t>
            </w:r>
          </w:p>
          <w:p w14:paraId="159E5F69">
            <w:pPr>
              <w:spacing w:line="480" w:lineRule="exact"/>
              <w:ind w:firstLine="480"/>
              <w:rPr>
                <w:rFonts w:hint="eastAsia"/>
                <w:color w:val="auto"/>
                <w:highlight w:val="none"/>
              </w:rPr>
            </w:pPr>
            <w:r>
              <w:rPr>
                <w:rFonts w:hint="default" w:ascii="Times New Roman" w:hAnsi="Times New Roman" w:eastAsia="宋体" w:cs="Times New Roman"/>
                <w:color w:val="auto"/>
                <w:sz w:val="24"/>
                <w:szCs w:val="24"/>
                <w:highlight w:val="none"/>
                <w:lang w:eastAsia="zh-CN"/>
              </w:rPr>
              <w:t>本次</w:t>
            </w:r>
            <w:r>
              <w:rPr>
                <w:rFonts w:hint="eastAsia" w:cs="Times New Roman"/>
                <w:color w:val="auto"/>
                <w:sz w:val="24"/>
                <w:szCs w:val="24"/>
                <w:highlight w:val="none"/>
                <w:lang w:val="en-US" w:eastAsia="zh-CN"/>
              </w:rPr>
              <w:t>施工</w:t>
            </w:r>
            <w:r>
              <w:rPr>
                <w:rFonts w:hint="default" w:ascii="Times New Roman" w:hAnsi="Times New Roman" w:eastAsia="宋体" w:cs="Times New Roman"/>
                <w:color w:val="auto"/>
                <w:sz w:val="24"/>
                <w:szCs w:val="24"/>
                <w:highlight w:val="none"/>
                <w:lang w:eastAsia="zh-CN"/>
              </w:rPr>
              <w:t>将以利用现有道路为主</w:t>
            </w:r>
            <w:r>
              <w:rPr>
                <w:rFonts w:hint="eastAsia" w:cs="Times New Roman"/>
                <w:color w:val="auto"/>
                <w:sz w:val="24"/>
                <w:szCs w:val="24"/>
                <w:highlight w:val="none"/>
                <w:lang w:eastAsia="zh-CN"/>
              </w:rPr>
              <w:t>，</w:t>
            </w:r>
            <w:r>
              <w:rPr>
                <w:rFonts w:hint="eastAsia"/>
                <w:color w:val="auto"/>
                <w:highlight w:val="none"/>
              </w:rPr>
              <w:t>除旧路翻浆段路基及村屯段需换填换填处理，其余路段旧路路基可帮宽利用。</w:t>
            </w:r>
          </w:p>
          <w:p w14:paraId="1CF36B16">
            <w:pPr>
              <w:spacing w:line="480" w:lineRule="exact"/>
              <w:ind w:firstLine="480"/>
              <w:rPr>
                <w:color w:val="auto"/>
                <w:highlight w:val="none"/>
              </w:rPr>
            </w:pPr>
            <w:r>
              <w:rPr>
                <w:rFonts w:hint="eastAsia"/>
                <w:color w:val="auto"/>
                <w:highlight w:val="none"/>
              </w:rPr>
              <w:t>一般路段：路基宽度为</w:t>
            </w:r>
            <w:r>
              <w:rPr>
                <w:rFonts w:hint="eastAsia"/>
                <w:color w:val="auto"/>
                <w:highlight w:val="none"/>
                <w:lang w:val="en-US" w:eastAsia="zh-CN"/>
              </w:rPr>
              <w:t>7.5</w:t>
            </w:r>
            <w:r>
              <w:rPr>
                <w:rFonts w:hint="eastAsia"/>
                <w:color w:val="auto"/>
                <w:highlight w:val="none"/>
              </w:rPr>
              <w:t>m，路面宽度为</w:t>
            </w:r>
            <w:r>
              <w:rPr>
                <w:rFonts w:hint="eastAsia"/>
                <w:color w:val="auto"/>
                <w:highlight w:val="none"/>
                <w:lang w:val="en-US" w:eastAsia="zh-CN"/>
              </w:rPr>
              <w:t>6.5</w:t>
            </w:r>
            <w:r>
              <w:rPr>
                <w:color w:val="auto"/>
                <w:highlight w:val="none"/>
              </w:rPr>
              <w:t>m</w:t>
            </w:r>
            <w:r>
              <w:rPr>
                <w:rFonts w:hint="eastAsia"/>
                <w:color w:val="auto"/>
                <w:highlight w:val="none"/>
              </w:rPr>
              <w:t>，标准路基横断面布置为</w:t>
            </w:r>
            <w:r>
              <w:rPr>
                <w:rFonts w:hint="eastAsia"/>
                <w:color w:val="auto"/>
                <w:highlight w:val="none"/>
                <w:lang w:val="en-US" w:eastAsia="zh-CN"/>
              </w:rPr>
              <w:t>0.5</w:t>
            </w:r>
            <w:r>
              <w:rPr>
                <w:rFonts w:hint="eastAsia"/>
                <w:color w:val="auto"/>
                <w:highlight w:val="none"/>
              </w:rPr>
              <w:t>m土路肩+3.</w:t>
            </w:r>
            <w:r>
              <w:rPr>
                <w:rFonts w:hint="eastAsia"/>
                <w:color w:val="auto"/>
                <w:highlight w:val="none"/>
                <w:lang w:val="en-US" w:eastAsia="zh-CN"/>
              </w:rPr>
              <w:t>25</w:t>
            </w:r>
            <w:r>
              <w:rPr>
                <w:rFonts w:hint="eastAsia"/>
                <w:color w:val="auto"/>
                <w:highlight w:val="none"/>
              </w:rPr>
              <w:t>m行车道+3.</w:t>
            </w:r>
            <w:r>
              <w:rPr>
                <w:rFonts w:hint="eastAsia"/>
                <w:color w:val="auto"/>
                <w:highlight w:val="none"/>
                <w:lang w:val="en-US" w:eastAsia="zh-CN"/>
              </w:rPr>
              <w:t>25</w:t>
            </w:r>
            <w:r>
              <w:rPr>
                <w:rFonts w:hint="eastAsia"/>
                <w:color w:val="auto"/>
                <w:highlight w:val="none"/>
              </w:rPr>
              <w:t>m行车道+0.</w:t>
            </w:r>
            <w:r>
              <w:rPr>
                <w:rFonts w:hint="eastAsia"/>
                <w:color w:val="auto"/>
                <w:highlight w:val="none"/>
                <w:lang w:val="en-US" w:eastAsia="zh-CN"/>
              </w:rPr>
              <w:t>5</w:t>
            </w:r>
            <w:r>
              <w:rPr>
                <w:rFonts w:hint="eastAsia"/>
                <w:color w:val="auto"/>
                <w:highlight w:val="none"/>
              </w:rPr>
              <w:t>m土路肩。</w:t>
            </w:r>
          </w:p>
          <w:p w14:paraId="14EA4D4D">
            <w:pPr>
              <w:spacing w:line="240" w:lineRule="auto"/>
              <w:ind w:firstLine="0" w:firstLineChars="0"/>
              <w:rPr>
                <w:color w:val="auto"/>
                <w:highlight w:val="none"/>
              </w:rPr>
            </w:pPr>
            <w:r>
              <w:rPr>
                <w:color w:val="auto"/>
                <w:highlight w:val="none"/>
              </w:rPr>
              <w:drawing>
                <wp:inline distT="0" distB="0" distL="114300" distR="114300">
                  <wp:extent cx="5384165" cy="2981325"/>
                  <wp:effectExtent l="0" t="0" r="698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384165" cy="2981325"/>
                          </a:xfrm>
                          <a:prstGeom prst="rect">
                            <a:avLst/>
                          </a:prstGeom>
                          <a:noFill/>
                          <a:ln>
                            <a:noFill/>
                          </a:ln>
                        </pic:spPr>
                      </pic:pic>
                    </a:graphicData>
                  </a:graphic>
                </wp:inline>
              </w:drawing>
            </w:r>
          </w:p>
          <w:p w14:paraId="354D6EB6">
            <w:pPr>
              <w:pStyle w:val="27"/>
              <w:keepNext w:val="0"/>
              <w:keepLines w:val="0"/>
              <w:pageBreakBefore w:val="0"/>
              <w:widowControl w:val="0"/>
              <w:kinsoku/>
              <w:wordWrap/>
              <w:overflowPunct/>
              <w:topLinePunct w:val="0"/>
              <w:autoSpaceDE/>
              <w:autoSpaceDN/>
              <w:bidi w:val="0"/>
              <w:adjustRightInd w:val="0"/>
              <w:snapToGrid w:val="0"/>
              <w:spacing w:line="360" w:lineRule="auto"/>
              <w:ind w:firstLine="198"/>
              <w:textAlignment w:val="auto"/>
              <w:rPr>
                <w:rFonts w:hint="default" w:eastAsia="宋体"/>
                <w:b/>
                <w:color w:val="auto"/>
                <w:sz w:val="24"/>
                <w:highlight w:val="none"/>
              </w:rPr>
            </w:pPr>
            <w:r>
              <w:rPr>
                <w:rFonts w:hint="default" w:eastAsia="宋体"/>
                <w:b/>
                <w:color w:val="auto"/>
                <w:sz w:val="24"/>
                <w:highlight w:val="none"/>
              </w:rPr>
              <w:t xml:space="preserve">图2-1 </w:t>
            </w:r>
            <w:r>
              <w:rPr>
                <w:rFonts w:eastAsia="宋体"/>
                <w:b/>
                <w:color w:val="auto"/>
                <w:sz w:val="24"/>
                <w:highlight w:val="none"/>
              </w:rPr>
              <w:t>路基</w:t>
            </w:r>
            <w:r>
              <w:rPr>
                <w:rFonts w:hint="default" w:eastAsia="宋体"/>
                <w:b/>
                <w:color w:val="auto"/>
                <w:sz w:val="24"/>
                <w:highlight w:val="none"/>
              </w:rPr>
              <w:t>标准横断面图</w:t>
            </w:r>
          </w:p>
          <w:p w14:paraId="26B027E0">
            <w:pPr>
              <w:spacing w:line="240" w:lineRule="auto"/>
              <w:ind w:left="0" w:leftChars="0" w:firstLine="0" w:firstLineChars="0"/>
              <w:jc w:val="center"/>
              <w:rPr>
                <w:rFonts w:hint="default" w:ascii="Times New Roman" w:hAnsi="Times New Roman" w:eastAsia="宋体" w:cs="Times New Roman"/>
                <w:b/>
                <w:bCs/>
                <w:color w:val="auto"/>
                <w:sz w:val="24"/>
                <w:szCs w:val="24"/>
                <w:highlight w:val="yellow"/>
                <w:lang w:val="en-US" w:eastAsia="zh-CN"/>
              </w:rPr>
            </w:pPr>
            <w:r>
              <w:rPr>
                <w:rFonts w:hint="default" w:ascii="Times New Roman" w:hAnsi="Times New Roman" w:cs="Times New Roman"/>
                <w:b/>
                <w:bCs/>
                <w:color w:val="auto"/>
                <w:sz w:val="24"/>
                <w:szCs w:val="24"/>
                <w:highlight w:val="yellow"/>
                <w:lang w:val="en-US" w:eastAsia="zh-CN"/>
              </w:rPr>
              <w:t xml:space="preserve">表2-3 </w:t>
            </w:r>
            <w:r>
              <w:rPr>
                <w:rFonts w:hint="eastAsia" w:cs="Times New Roman"/>
                <w:b/>
                <w:bCs/>
                <w:color w:val="auto"/>
                <w:sz w:val="24"/>
                <w:szCs w:val="24"/>
                <w:highlight w:val="yellow"/>
                <w:lang w:val="en-US" w:eastAsia="zh-CN"/>
              </w:rPr>
              <w:t>帮宽情况一览表</w:t>
            </w:r>
          </w:p>
          <w:tbl>
            <w:tblPr>
              <w:tblStyle w:val="16"/>
              <w:tblW w:w="798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325"/>
              <w:gridCol w:w="2986"/>
            </w:tblGrid>
            <w:tr w14:paraId="2EA60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673" w:type="pct"/>
                  <w:tcBorders>
                    <w:tl2br w:val="nil"/>
                    <w:tr2bl w:val="nil"/>
                  </w:tcBorders>
                  <w:noWrap w:val="0"/>
                  <w:vAlign w:val="center"/>
                </w:tcPr>
                <w:p w14:paraId="2E9C0B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cs="Times New Roman"/>
                      <w:color w:val="auto"/>
                      <w:sz w:val="21"/>
                      <w:szCs w:val="21"/>
                      <w:highlight w:val="yellow"/>
                      <w:vertAlign w:val="baseline"/>
                      <w:lang w:val="en-US" w:eastAsia="zh-CN"/>
                    </w:rPr>
                    <w:t>起讫桩号</w:t>
                  </w:r>
                </w:p>
              </w:tc>
              <w:tc>
                <w:tcPr>
                  <w:tcW w:w="1456" w:type="pct"/>
                  <w:tcBorders>
                    <w:tl2br w:val="nil"/>
                    <w:tr2bl w:val="nil"/>
                  </w:tcBorders>
                  <w:noWrap w:val="0"/>
                  <w:vAlign w:val="center"/>
                </w:tcPr>
                <w:p w14:paraId="114A65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rPr>
                  </w:pPr>
                  <w:r>
                    <w:rPr>
                      <w:rFonts w:hint="eastAsia" w:cs="Times New Roman"/>
                      <w:color w:val="auto"/>
                      <w:sz w:val="21"/>
                      <w:szCs w:val="21"/>
                      <w:highlight w:val="yellow"/>
                      <w:vertAlign w:val="baseline"/>
                      <w:lang w:val="en-US" w:eastAsia="zh-CN"/>
                    </w:rPr>
                    <w:t>长度 （m）</w:t>
                  </w:r>
                </w:p>
              </w:tc>
              <w:tc>
                <w:tcPr>
                  <w:tcW w:w="1870" w:type="pct"/>
                  <w:tcBorders>
                    <w:tl2br w:val="nil"/>
                    <w:tr2bl w:val="nil"/>
                  </w:tcBorders>
                  <w:noWrap w:val="0"/>
                  <w:vAlign w:val="center"/>
                </w:tcPr>
                <w:p w14:paraId="6AB85D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加宽方式</w:t>
                  </w:r>
                </w:p>
              </w:tc>
            </w:tr>
            <w:tr w14:paraId="31FEC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53505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1"/>
                      <w:szCs w:val="21"/>
                      <w:highlight w:val="yellow"/>
                      <w:vertAlign w:val="baseline"/>
                      <w:lang w:val="en-US" w:eastAsia="zh-CN"/>
                    </w:rPr>
                    <w:t>K0+000～K6+350</w:t>
                  </w:r>
                </w:p>
              </w:tc>
              <w:tc>
                <w:tcPr>
                  <w:tcW w:w="1456" w:type="pct"/>
                  <w:tcBorders>
                    <w:tl2br w:val="nil"/>
                    <w:tr2bl w:val="nil"/>
                  </w:tcBorders>
                  <w:noWrap w:val="0"/>
                  <w:vAlign w:val="center"/>
                </w:tcPr>
                <w:p w14:paraId="0ED1B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6350</w:t>
                  </w:r>
                </w:p>
              </w:tc>
              <w:tc>
                <w:tcPr>
                  <w:tcW w:w="1870" w:type="pct"/>
                  <w:tcBorders>
                    <w:tl2br w:val="nil"/>
                    <w:tr2bl w:val="nil"/>
                  </w:tcBorders>
                  <w:noWrap w:val="0"/>
                  <w:vAlign w:val="center"/>
                </w:tcPr>
                <w:p w14:paraId="23CAD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w:t>
                  </w:r>
                </w:p>
              </w:tc>
            </w:tr>
            <w:tr w14:paraId="176AC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7B6667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K6+350～K6+950</w:t>
                  </w:r>
                </w:p>
              </w:tc>
              <w:tc>
                <w:tcPr>
                  <w:tcW w:w="1456" w:type="pct"/>
                  <w:tcBorders>
                    <w:tl2br w:val="nil"/>
                    <w:tr2bl w:val="nil"/>
                  </w:tcBorders>
                  <w:noWrap w:val="0"/>
                  <w:vAlign w:val="center"/>
                </w:tcPr>
                <w:p w14:paraId="3047B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600</w:t>
                  </w:r>
                </w:p>
              </w:tc>
              <w:tc>
                <w:tcPr>
                  <w:tcW w:w="1870" w:type="pct"/>
                  <w:tcBorders>
                    <w:tl2br w:val="nil"/>
                    <w:tr2bl w:val="nil"/>
                  </w:tcBorders>
                  <w:shd w:val="clear" w:color="auto" w:fill="auto"/>
                  <w:noWrap w:val="0"/>
                  <w:vAlign w:val="center"/>
                </w:tcPr>
                <w:p w14:paraId="28733B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3FA5F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016AD4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1"/>
                      <w:szCs w:val="21"/>
                      <w:highlight w:val="yellow"/>
                      <w:vertAlign w:val="baseline"/>
                      <w:lang w:val="en-US" w:eastAsia="zh-CN"/>
                    </w:rPr>
                    <w:t>K6+950～K7+250</w:t>
                  </w:r>
                </w:p>
              </w:tc>
              <w:tc>
                <w:tcPr>
                  <w:tcW w:w="1456" w:type="pct"/>
                  <w:tcBorders>
                    <w:tl2br w:val="nil"/>
                    <w:tr2bl w:val="nil"/>
                  </w:tcBorders>
                  <w:noWrap w:val="0"/>
                  <w:vAlign w:val="center"/>
                </w:tcPr>
                <w:p w14:paraId="31A49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300</w:t>
                  </w:r>
                </w:p>
              </w:tc>
              <w:tc>
                <w:tcPr>
                  <w:tcW w:w="1870" w:type="pct"/>
                  <w:tcBorders>
                    <w:tl2br w:val="nil"/>
                    <w:tr2bl w:val="nil"/>
                  </w:tcBorders>
                  <w:shd w:val="clear" w:color="auto" w:fill="auto"/>
                  <w:noWrap w:val="0"/>
                  <w:vAlign w:val="center"/>
                </w:tcPr>
                <w:p w14:paraId="2E350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4C02F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72508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K7+250～K7+500</w:t>
                  </w:r>
                </w:p>
              </w:tc>
              <w:tc>
                <w:tcPr>
                  <w:tcW w:w="1456" w:type="pct"/>
                  <w:tcBorders>
                    <w:tl2br w:val="nil"/>
                    <w:tr2bl w:val="nil"/>
                  </w:tcBorders>
                  <w:noWrap w:val="0"/>
                  <w:vAlign w:val="center"/>
                </w:tcPr>
                <w:p w14:paraId="4E22C3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250</w:t>
                  </w:r>
                </w:p>
              </w:tc>
              <w:tc>
                <w:tcPr>
                  <w:tcW w:w="1870" w:type="pct"/>
                  <w:tcBorders>
                    <w:tl2br w:val="nil"/>
                    <w:tr2bl w:val="nil"/>
                  </w:tcBorders>
                  <w:shd w:val="clear" w:color="auto" w:fill="auto"/>
                  <w:noWrap w:val="0"/>
                  <w:vAlign w:val="center"/>
                </w:tcPr>
                <w:p w14:paraId="4DCF5C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54CEE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166B9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K7+500～K8+000</w:t>
                  </w:r>
                </w:p>
              </w:tc>
              <w:tc>
                <w:tcPr>
                  <w:tcW w:w="1456" w:type="pct"/>
                  <w:tcBorders>
                    <w:tl2br w:val="nil"/>
                    <w:tr2bl w:val="nil"/>
                  </w:tcBorders>
                  <w:noWrap w:val="0"/>
                  <w:vAlign w:val="center"/>
                </w:tcPr>
                <w:p w14:paraId="73E6AB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500</w:t>
                  </w:r>
                </w:p>
              </w:tc>
              <w:tc>
                <w:tcPr>
                  <w:tcW w:w="1870" w:type="pct"/>
                  <w:tcBorders>
                    <w:tl2br w:val="nil"/>
                    <w:tr2bl w:val="nil"/>
                  </w:tcBorders>
                  <w:shd w:val="clear" w:color="auto" w:fill="auto"/>
                  <w:noWrap w:val="0"/>
                  <w:vAlign w:val="center"/>
                </w:tcPr>
                <w:p w14:paraId="5E25D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2ABB7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118E9B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K7+500～K8+760</w:t>
                  </w:r>
                </w:p>
              </w:tc>
              <w:tc>
                <w:tcPr>
                  <w:tcW w:w="1456" w:type="pct"/>
                  <w:tcBorders>
                    <w:tl2br w:val="nil"/>
                    <w:tr2bl w:val="nil"/>
                  </w:tcBorders>
                  <w:noWrap w:val="0"/>
                  <w:vAlign w:val="center"/>
                </w:tcPr>
                <w:p w14:paraId="4D2D85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1260</w:t>
                  </w:r>
                </w:p>
              </w:tc>
              <w:tc>
                <w:tcPr>
                  <w:tcW w:w="1870" w:type="pct"/>
                  <w:tcBorders>
                    <w:tl2br w:val="nil"/>
                    <w:tr2bl w:val="nil"/>
                  </w:tcBorders>
                  <w:shd w:val="clear" w:color="auto" w:fill="auto"/>
                  <w:noWrap w:val="0"/>
                  <w:vAlign w:val="center"/>
                </w:tcPr>
                <w:p w14:paraId="027A0A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6AAB2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4BAB3A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K8+760～K9+340</w:t>
                  </w:r>
                </w:p>
              </w:tc>
              <w:tc>
                <w:tcPr>
                  <w:tcW w:w="1456" w:type="pct"/>
                  <w:tcBorders>
                    <w:tl2br w:val="nil"/>
                    <w:tr2bl w:val="nil"/>
                  </w:tcBorders>
                  <w:noWrap w:val="0"/>
                  <w:vAlign w:val="center"/>
                </w:tcPr>
                <w:p w14:paraId="5E4117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580</w:t>
                  </w:r>
                </w:p>
              </w:tc>
              <w:tc>
                <w:tcPr>
                  <w:tcW w:w="1870" w:type="pct"/>
                  <w:tcBorders>
                    <w:tl2br w:val="nil"/>
                    <w:tr2bl w:val="nil"/>
                  </w:tcBorders>
                  <w:shd w:val="clear" w:color="auto" w:fill="auto"/>
                  <w:noWrap w:val="0"/>
                  <w:vAlign w:val="center"/>
                </w:tcPr>
                <w:p w14:paraId="7A89A4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2C85F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0B85A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K9+340～K9+750</w:t>
                  </w:r>
                </w:p>
              </w:tc>
              <w:tc>
                <w:tcPr>
                  <w:tcW w:w="1456" w:type="pct"/>
                  <w:tcBorders>
                    <w:tl2br w:val="nil"/>
                    <w:tr2bl w:val="nil"/>
                  </w:tcBorders>
                  <w:noWrap w:val="0"/>
                  <w:vAlign w:val="center"/>
                </w:tcPr>
                <w:p w14:paraId="4EA37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410</w:t>
                  </w:r>
                </w:p>
              </w:tc>
              <w:tc>
                <w:tcPr>
                  <w:tcW w:w="1870" w:type="pct"/>
                  <w:tcBorders>
                    <w:tl2br w:val="nil"/>
                    <w:tr2bl w:val="nil"/>
                  </w:tcBorders>
                  <w:shd w:val="clear" w:color="auto" w:fill="auto"/>
                  <w:noWrap w:val="0"/>
                  <w:vAlign w:val="center"/>
                </w:tcPr>
                <w:p w14:paraId="210BCB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53CE7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432A1C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K9+750～K11+000</w:t>
                  </w:r>
                </w:p>
              </w:tc>
              <w:tc>
                <w:tcPr>
                  <w:tcW w:w="1456" w:type="pct"/>
                  <w:tcBorders>
                    <w:tl2br w:val="nil"/>
                    <w:tr2bl w:val="nil"/>
                  </w:tcBorders>
                  <w:noWrap w:val="0"/>
                  <w:vAlign w:val="center"/>
                </w:tcPr>
                <w:p w14:paraId="0FE01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1250</w:t>
                  </w:r>
                </w:p>
              </w:tc>
              <w:tc>
                <w:tcPr>
                  <w:tcW w:w="1870" w:type="pct"/>
                  <w:tcBorders>
                    <w:tl2br w:val="nil"/>
                    <w:tr2bl w:val="nil"/>
                  </w:tcBorders>
                  <w:shd w:val="clear" w:color="auto" w:fill="auto"/>
                  <w:noWrap w:val="0"/>
                  <w:vAlign w:val="center"/>
                </w:tcPr>
                <w:p w14:paraId="357AC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6C478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27913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K11+000～K11+790</w:t>
                  </w:r>
                </w:p>
              </w:tc>
              <w:tc>
                <w:tcPr>
                  <w:tcW w:w="1456" w:type="pct"/>
                  <w:tcBorders>
                    <w:tl2br w:val="nil"/>
                    <w:tr2bl w:val="nil"/>
                  </w:tcBorders>
                  <w:noWrap w:val="0"/>
                  <w:vAlign w:val="center"/>
                </w:tcPr>
                <w:p w14:paraId="08806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790</w:t>
                  </w:r>
                </w:p>
              </w:tc>
              <w:tc>
                <w:tcPr>
                  <w:tcW w:w="1870" w:type="pct"/>
                  <w:tcBorders>
                    <w:tl2br w:val="nil"/>
                    <w:tr2bl w:val="nil"/>
                  </w:tcBorders>
                  <w:shd w:val="clear" w:color="auto" w:fill="auto"/>
                  <w:noWrap w:val="0"/>
                  <w:vAlign w:val="center"/>
                </w:tcPr>
                <w:p w14:paraId="4E47E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4DA70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723C0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K11+790～K11+890</w:t>
                  </w:r>
                </w:p>
              </w:tc>
              <w:tc>
                <w:tcPr>
                  <w:tcW w:w="1456" w:type="pct"/>
                  <w:tcBorders>
                    <w:tl2br w:val="nil"/>
                    <w:tr2bl w:val="nil"/>
                  </w:tcBorders>
                  <w:noWrap w:val="0"/>
                  <w:vAlign w:val="center"/>
                </w:tcPr>
                <w:p w14:paraId="1E293C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100</w:t>
                  </w:r>
                </w:p>
              </w:tc>
              <w:tc>
                <w:tcPr>
                  <w:tcW w:w="1870" w:type="pct"/>
                  <w:tcBorders>
                    <w:tl2br w:val="nil"/>
                    <w:tr2bl w:val="nil"/>
                  </w:tcBorders>
                  <w:shd w:val="clear" w:color="auto" w:fill="auto"/>
                  <w:noWrap w:val="0"/>
                  <w:vAlign w:val="center"/>
                </w:tcPr>
                <w:p w14:paraId="700F5D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728A2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73" w:type="pct"/>
                  <w:tcBorders>
                    <w:tl2br w:val="nil"/>
                    <w:tr2bl w:val="nil"/>
                  </w:tcBorders>
                  <w:noWrap w:val="0"/>
                  <w:vAlign w:val="center"/>
                </w:tcPr>
                <w:p w14:paraId="31F23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K11+890～K12+050</w:t>
                  </w:r>
                </w:p>
              </w:tc>
              <w:tc>
                <w:tcPr>
                  <w:tcW w:w="1456" w:type="pct"/>
                  <w:tcBorders>
                    <w:tl2br w:val="nil"/>
                    <w:tr2bl w:val="nil"/>
                  </w:tcBorders>
                  <w:noWrap w:val="0"/>
                  <w:vAlign w:val="center"/>
                </w:tcPr>
                <w:p w14:paraId="1118A8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160</w:t>
                  </w:r>
                </w:p>
              </w:tc>
              <w:tc>
                <w:tcPr>
                  <w:tcW w:w="1870" w:type="pct"/>
                  <w:tcBorders>
                    <w:tl2br w:val="nil"/>
                    <w:tr2bl w:val="nil"/>
                  </w:tcBorders>
                  <w:shd w:val="clear" w:color="auto" w:fill="auto"/>
                  <w:noWrap w:val="0"/>
                  <w:vAlign w:val="center"/>
                </w:tcPr>
                <w:p w14:paraId="02E670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19E6B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10022C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K12+050～K12+350</w:t>
                  </w:r>
                </w:p>
              </w:tc>
              <w:tc>
                <w:tcPr>
                  <w:tcW w:w="1456" w:type="pct"/>
                  <w:tcBorders>
                    <w:tl2br w:val="nil"/>
                    <w:tr2bl w:val="nil"/>
                  </w:tcBorders>
                  <w:noWrap w:val="0"/>
                  <w:vAlign w:val="center"/>
                </w:tcPr>
                <w:p w14:paraId="1DE20D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300</w:t>
                  </w:r>
                </w:p>
              </w:tc>
              <w:tc>
                <w:tcPr>
                  <w:tcW w:w="1870" w:type="pct"/>
                  <w:tcBorders>
                    <w:tl2br w:val="nil"/>
                    <w:tr2bl w:val="nil"/>
                  </w:tcBorders>
                  <w:shd w:val="clear" w:color="auto" w:fill="auto"/>
                  <w:noWrap w:val="0"/>
                  <w:vAlign w:val="center"/>
                </w:tcPr>
                <w:p w14:paraId="19DC8F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212AB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243B0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K12+350～K12+900</w:t>
                  </w:r>
                </w:p>
              </w:tc>
              <w:tc>
                <w:tcPr>
                  <w:tcW w:w="1456" w:type="pct"/>
                  <w:tcBorders>
                    <w:tl2br w:val="nil"/>
                    <w:tr2bl w:val="nil"/>
                  </w:tcBorders>
                  <w:noWrap w:val="0"/>
                  <w:vAlign w:val="center"/>
                </w:tcPr>
                <w:p w14:paraId="76404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550</w:t>
                  </w:r>
                </w:p>
              </w:tc>
              <w:tc>
                <w:tcPr>
                  <w:tcW w:w="1870" w:type="pct"/>
                  <w:tcBorders>
                    <w:tl2br w:val="nil"/>
                    <w:tr2bl w:val="nil"/>
                  </w:tcBorders>
                  <w:shd w:val="clear" w:color="auto" w:fill="auto"/>
                  <w:noWrap w:val="0"/>
                  <w:vAlign w:val="center"/>
                </w:tcPr>
                <w:p w14:paraId="28169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24ABC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64E8EC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K12+900～K13+220</w:t>
                  </w:r>
                </w:p>
              </w:tc>
              <w:tc>
                <w:tcPr>
                  <w:tcW w:w="1456" w:type="pct"/>
                  <w:tcBorders>
                    <w:tl2br w:val="nil"/>
                    <w:tr2bl w:val="nil"/>
                  </w:tcBorders>
                  <w:noWrap w:val="0"/>
                  <w:vAlign w:val="center"/>
                </w:tcPr>
                <w:p w14:paraId="12DBD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320</w:t>
                  </w:r>
                </w:p>
              </w:tc>
              <w:tc>
                <w:tcPr>
                  <w:tcW w:w="1870" w:type="pct"/>
                  <w:tcBorders>
                    <w:tl2br w:val="nil"/>
                    <w:tr2bl w:val="nil"/>
                  </w:tcBorders>
                  <w:shd w:val="clear" w:color="auto" w:fill="auto"/>
                  <w:noWrap w:val="0"/>
                  <w:vAlign w:val="center"/>
                </w:tcPr>
                <w:p w14:paraId="048261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3752F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5BDA4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K13+220～K13+400</w:t>
                  </w:r>
                </w:p>
              </w:tc>
              <w:tc>
                <w:tcPr>
                  <w:tcW w:w="1456" w:type="pct"/>
                  <w:tcBorders>
                    <w:tl2br w:val="nil"/>
                    <w:tr2bl w:val="nil"/>
                  </w:tcBorders>
                  <w:noWrap w:val="0"/>
                  <w:vAlign w:val="center"/>
                </w:tcPr>
                <w:p w14:paraId="5A9FA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180</w:t>
                  </w:r>
                </w:p>
              </w:tc>
              <w:tc>
                <w:tcPr>
                  <w:tcW w:w="1870" w:type="pct"/>
                  <w:tcBorders>
                    <w:tl2br w:val="nil"/>
                    <w:tr2bl w:val="nil"/>
                  </w:tcBorders>
                  <w:shd w:val="clear" w:color="auto" w:fill="auto"/>
                  <w:noWrap w:val="0"/>
                  <w:vAlign w:val="center"/>
                </w:tcPr>
                <w:p w14:paraId="6D7EBE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67D7B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04F11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K13+400～K13+600</w:t>
                  </w:r>
                </w:p>
              </w:tc>
              <w:tc>
                <w:tcPr>
                  <w:tcW w:w="1456" w:type="pct"/>
                  <w:tcBorders>
                    <w:tl2br w:val="nil"/>
                    <w:tr2bl w:val="nil"/>
                  </w:tcBorders>
                  <w:noWrap w:val="0"/>
                  <w:vAlign w:val="center"/>
                </w:tcPr>
                <w:p w14:paraId="3FBF36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200</w:t>
                  </w:r>
                </w:p>
              </w:tc>
              <w:tc>
                <w:tcPr>
                  <w:tcW w:w="1870" w:type="pct"/>
                  <w:tcBorders>
                    <w:tl2br w:val="nil"/>
                    <w:tr2bl w:val="nil"/>
                  </w:tcBorders>
                  <w:shd w:val="clear" w:color="auto" w:fill="auto"/>
                  <w:noWrap w:val="0"/>
                  <w:vAlign w:val="center"/>
                </w:tcPr>
                <w:p w14:paraId="6F291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13B52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7496F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K13+600～K14+050</w:t>
                  </w:r>
                </w:p>
              </w:tc>
              <w:tc>
                <w:tcPr>
                  <w:tcW w:w="1456" w:type="pct"/>
                  <w:tcBorders>
                    <w:tl2br w:val="nil"/>
                    <w:tr2bl w:val="nil"/>
                  </w:tcBorders>
                  <w:noWrap w:val="0"/>
                  <w:vAlign w:val="center"/>
                </w:tcPr>
                <w:p w14:paraId="20F15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450</w:t>
                  </w:r>
                </w:p>
              </w:tc>
              <w:tc>
                <w:tcPr>
                  <w:tcW w:w="1870" w:type="pct"/>
                  <w:tcBorders>
                    <w:tl2br w:val="nil"/>
                    <w:tr2bl w:val="nil"/>
                  </w:tcBorders>
                  <w:shd w:val="clear" w:color="auto" w:fill="auto"/>
                  <w:noWrap w:val="0"/>
                  <w:vAlign w:val="center"/>
                </w:tcPr>
                <w:p w14:paraId="35840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09EE8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69F54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K14+050～K14+140</w:t>
                  </w:r>
                </w:p>
              </w:tc>
              <w:tc>
                <w:tcPr>
                  <w:tcW w:w="1456" w:type="pct"/>
                  <w:tcBorders>
                    <w:tl2br w:val="nil"/>
                    <w:tr2bl w:val="nil"/>
                  </w:tcBorders>
                  <w:noWrap w:val="0"/>
                  <w:vAlign w:val="center"/>
                </w:tcPr>
                <w:p w14:paraId="5F17C2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90</w:t>
                  </w:r>
                </w:p>
              </w:tc>
              <w:tc>
                <w:tcPr>
                  <w:tcW w:w="1870" w:type="pct"/>
                  <w:tcBorders>
                    <w:tl2br w:val="nil"/>
                    <w:tr2bl w:val="nil"/>
                  </w:tcBorders>
                  <w:shd w:val="clear" w:color="auto" w:fill="auto"/>
                  <w:noWrap w:val="0"/>
                  <w:vAlign w:val="center"/>
                </w:tcPr>
                <w:p w14:paraId="45C690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4834D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04724E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K14+140～K15+095</w:t>
                  </w:r>
                </w:p>
              </w:tc>
              <w:tc>
                <w:tcPr>
                  <w:tcW w:w="1456" w:type="pct"/>
                  <w:tcBorders>
                    <w:tl2br w:val="nil"/>
                    <w:tr2bl w:val="nil"/>
                  </w:tcBorders>
                  <w:noWrap w:val="0"/>
                  <w:vAlign w:val="center"/>
                </w:tcPr>
                <w:p w14:paraId="2B182D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955</w:t>
                  </w:r>
                </w:p>
              </w:tc>
              <w:tc>
                <w:tcPr>
                  <w:tcW w:w="1870" w:type="pct"/>
                  <w:tcBorders>
                    <w:tl2br w:val="nil"/>
                    <w:tr2bl w:val="nil"/>
                  </w:tcBorders>
                  <w:shd w:val="clear" w:color="auto" w:fill="auto"/>
                  <w:noWrap w:val="0"/>
                  <w:vAlign w:val="center"/>
                </w:tcPr>
                <w:p w14:paraId="220B45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5B18A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78062C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K15+095～K15+170</w:t>
                  </w:r>
                </w:p>
              </w:tc>
              <w:tc>
                <w:tcPr>
                  <w:tcW w:w="1456" w:type="pct"/>
                  <w:tcBorders>
                    <w:tl2br w:val="nil"/>
                    <w:tr2bl w:val="nil"/>
                  </w:tcBorders>
                  <w:noWrap w:val="0"/>
                  <w:vAlign w:val="center"/>
                </w:tcPr>
                <w:p w14:paraId="2EE267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75</w:t>
                  </w:r>
                </w:p>
              </w:tc>
              <w:tc>
                <w:tcPr>
                  <w:tcW w:w="1870" w:type="pct"/>
                  <w:tcBorders>
                    <w:tl2br w:val="nil"/>
                    <w:tr2bl w:val="nil"/>
                  </w:tcBorders>
                  <w:shd w:val="clear" w:color="auto" w:fill="auto"/>
                  <w:noWrap w:val="0"/>
                  <w:vAlign w:val="center"/>
                </w:tcPr>
                <w:p w14:paraId="25162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7683F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2E6C5A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K15+170～K15+450</w:t>
                  </w:r>
                </w:p>
              </w:tc>
              <w:tc>
                <w:tcPr>
                  <w:tcW w:w="1456" w:type="pct"/>
                  <w:tcBorders>
                    <w:tl2br w:val="nil"/>
                    <w:tr2bl w:val="nil"/>
                  </w:tcBorders>
                  <w:noWrap w:val="0"/>
                  <w:vAlign w:val="center"/>
                </w:tcPr>
                <w:p w14:paraId="59EF57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280</w:t>
                  </w:r>
                </w:p>
              </w:tc>
              <w:tc>
                <w:tcPr>
                  <w:tcW w:w="1870" w:type="pct"/>
                  <w:tcBorders>
                    <w:tl2br w:val="nil"/>
                    <w:tr2bl w:val="nil"/>
                  </w:tcBorders>
                  <w:shd w:val="clear" w:color="auto" w:fill="auto"/>
                  <w:noWrap w:val="0"/>
                  <w:vAlign w:val="center"/>
                </w:tcPr>
                <w:p w14:paraId="4E8BD4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027DD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673" w:type="pct"/>
                  <w:tcBorders>
                    <w:tl2br w:val="nil"/>
                    <w:tr2bl w:val="nil"/>
                  </w:tcBorders>
                  <w:noWrap w:val="0"/>
                  <w:vAlign w:val="center"/>
                </w:tcPr>
                <w:p w14:paraId="1414CC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K15+450～K15+550</w:t>
                  </w:r>
                </w:p>
              </w:tc>
              <w:tc>
                <w:tcPr>
                  <w:tcW w:w="1456" w:type="pct"/>
                  <w:tcBorders>
                    <w:tl2br w:val="nil"/>
                    <w:tr2bl w:val="nil"/>
                  </w:tcBorders>
                  <w:noWrap w:val="0"/>
                  <w:vAlign w:val="center"/>
                </w:tcPr>
                <w:p w14:paraId="505607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100</w:t>
                  </w:r>
                </w:p>
              </w:tc>
              <w:tc>
                <w:tcPr>
                  <w:tcW w:w="1870" w:type="pct"/>
                  <w:tcBorders>
                    <w:tl2br w:val="nil"/>
                    <w:tr2bl w:val="nil"/>
                  </w:tcBorders>
                  <w:shd w:val="clear" w:color="auto" w:fill="auto"/>
                  <w:noWrap w:val="0"/>
                  <w:vAlign w:val="center"/>
                </w:tcPr>
                <w:p w14:paraId="674ED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414AE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2A0807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K15+550～K16+550</w:t>
                  </w:r>
                </w:p>
              </w:tc>
              <w:tc>
                <w:tcPr>
                  <w:tcW w:w="1456" w:type="pct"/>
                  <w:tcBorders>
                    <w:tl2br w:val="nil"/>
                    <w:tr2bl w:val="nil"/>
                  </w:tcBorders>
                  <w:noWrap w:val="0"/>
                  <w:vAlign w:val="center"/>
                </w:tcPr>
                <w:p w14:paraId="17901B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1000</w:t>
                  </w:r>
                </w:p>
              </w:tc>
              <w:tc>
                <w:tcPr>
                  <w:tcW w:w="1870" w:type="pct"/>
                  <w:tcBorders>
                    <w:tl2br w:val="nil"/>
                    <w:tr2bl w:val="nil"/>
                  </w:tcBorders>
                  <w:shd w:val="clear" w:color="auto" w:fill="auto"/>
                  <w:noWrap w:val="0"/>
                  <w:vAlign w:val="center"/>
                </w:tcPr>
                <w:p w14:paraId="70903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595F8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7B8A2D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K16+550～K17+050</w:t>
                  </w:r>
                </w:p>
              </w:tc>
              <w:tc>
                <w:tcPr>
                  <w:tcW w:w="1456" w:type="pct"/>
                  <w:tcBorders>
                    <w:tl2br w:val="nil"/>
                    <w:tr2bl w:val="nil"/>
                  </w:tcBorders>
                  <w:noWrap w:val="0"/>
                  <w:vAlign w:val="center"/>
                </w:tcPr>
                <w:p w14:paraId="15968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500</w:t>
                  </w:r>
                </w:p>
              </w:tc>
              <w:tc>
                <w:tcPr>
                  <w:tcW w:w="1870" w:type="pct"/>
                  <w:tcBorders>
                    <w:tl2br w:val="nil"/>
                    <w:tr2bl w:val="nil"/>
                  </w:tcBorders>
                  <w:shd w:val="clear" w:color="auto" w:fill="auto"/>
                  <w:noWrap w:val="0"/>
                  <w:vAlign w:val="center"/>
                </w:tcPr>
                <w:p w14:paraId="0AE78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r w14:paraId="084DA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57F3C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K17+050～K17+610</w:t>
                  </w:r>
                </w:p>
              </w:tc>
              <w:tc>
                <w:tcPr>
                  <w:tcW w:w="1456" w:type="pct"/>
                  <w:tcBorders>
                    <w:tl2br w:val="nil"/>
                    <w:tr2bl w:val="nil"/>
                  </w:tcBorders>
                  <w:noWrap w:val="0"/>
                  <w:vAlign w:val="center"/>
                </w:tcPr>
                <w:p w14:paraId="27C16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560</w:t>
                  </w:r>
                </w:p>
              </w:tc>
              <w:tc>
                <w:tcPr>
                  <w:tcW w:w="1870" w:type="pct"/>
                  <w:tcBorders>
                    <w:tl2br w:val="nil"/>
                    <w:tr2bl w:val="nil"/>
                  </w:tcBorders>
                  <w:shd w:val="clear" w:color="auto" w:fill="auto"/>
                  <w:noWrap w:val="0"/>
                  <w:vAlign w:val="center"/>
                </w:tcPr>
                <w:p w14:paraId="1752A5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两侧各加宽</w:t>
                  </w:r>
                  <w:r>
                    <w:rPr>
                      <w:rFonts w:hint="eastAsia" w:ascii="Times New Roman" w:hAnsi="Times New Roman" w:eastAsia="宋体" w:cs="Times New Roman"/>
                      <w:i w:val="0"/>
                      <w:color w:val="auto"/>
                      <w:kern w:val="0"/>
                      <w:sz w:val="21"/>
                      <w:szCs w:val="21"/>
                      <w:u w:val="none"/>
                      <w:lang w:val="en-US" w:eastAsia="zh-CN" w:bidi="ar"/>
                    </w:rPr>
                    <w:t>0.75</w:t>
                  </w:r>
                  <w:r>
                    <w:rPr>
                      <w:rFonts w:hint="default" w:ascii="Times New Roman" w:hAnsi="Times New Roman" w:eastAsia="宋体" w:cs="Times New Roman"/>
                      <w:i w:val="0"/>
                      <w:color w:val="auto"/>
                      <w:kern w:val="0"/>
                      <w:sz w:val="21"/>
                      <w:szCs w:val="21"/>
                      <w:u w:val="none"/>
                      <w:lang w:val="en-US" w:eastAsia="zh-CN" w:bidi="ar"/>
                    </w:rPr>
                    <w:t>m</w:t>
                  </w:r>
                </w:p>
              </w:tc>
            </w:tr>
            <w:tr w14:paraId="4683F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3" w:type="pct"/>
                  <w:tcBorders>
                    <w:tl2br w:val="nil"/>
                    <w:tr2bl w:val="nil"/>
                  </w:tcBorders>
                  <w:noWrap w:val="0"/>
                  <w:vAlign w:val="center"/>
                </w:tcPr>
                <w:p w14:paraId="20B35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baseline"/>
                    </w:rPr>
                  </w:pPr>
                  <w:r>
                    <w:rPr>
                      <w:rFonts w:hint="default" w:ascii="Times New Roman" w:hAnsi="Times New Roman" w:eastAsia="宋体" w:cs="Times New Roman"/>
                      <w:color w:val="auto"/>
                      <w:sz w:val="21"/>
                      <w:szCs w:val="21"/>
                      <w:highlight w:val="yellow"/>
                      <w:vertAlign w:val="baseline"/>
                    </w:rPr>
                    <w:t>K17+610</w:t>
                  </w:r>
                  <w:r>
                    <w:rPr>
                      <w:rFonts w:hint="default" w:ascii="Times New Roman" w:hAnsi="Times New Roman" w:eastAsia="宋体" w:cs="Times New Roman"/>
                      <w:color w:val="auto"/>
                      <w:sz w:val="21"/>
                      <w:szCs w:val="21"/>
                      <w:highlight w:val="yellow"/>
                      <w:vertAlign w:val="baseline"/>
                    </w:rPr>
                    <w:tab/>
                  </w:r>
                  <w:r>
                    <w:rPr>
                      <w:rFonts w:hint="default" w:ascii="Times New Roman" w:hAnsi="Times New Roman" w:eastAsia="宋体" w:cs="Times New Roman"/>
                      <w:color w:val="auto"/>
                      <w:sz w:val="21"/>
                      <w:szCs w:val="21"/>
                      <w:highlight w:val="yellow"/>
                      <w:vertAlign w:val="baseline"/>
                    </w:rPr>
                    <w:t>～</w:t>
                  </w:r>
                  <w:r>
                    <w:rPr>
                      <w:rFonts w:hint="default" w:ascii="Times New Roman" w:hAnsi="Times New Roman" w:eastAsia="宋体" w:cs="Times New Roman"/>
                      <w:color w:val="auto"/>
                      <w:sz w:val="21"/>
                      <w:szCs w:val="21"/>
                      <w:highlight w:val="yellow"/>
                      <w:vertAlign w:val="baseline"/>
                    </w:rPr>
                    <w:tab/>
                  </w:r>
                  <w:r>
                    <w:rPr>
                      <w:rFonts w:hint="default" w:ascii="Times New Roman" w:hAnsi="Times New Roman" w:eastAsia="宋体" w:cs="Times New Roman"/>
                      <w:color w:val="auto"/>
                      <w:sz w:val="21"/>
                      <w:szCs w:val="21"/>
                      <w:highlight w:val="yellow"/>
                      <w:vertAlign w:val="baseline"/>
                    </w:rPr>
                    <w:t>K18+777</w:t>
                  </w:r>
                </w:p>
              </w:tc>
              <w:tc>
                <w:tcPr>
                  <w:tcW w:w="1456" w:type="pct"/>
                  <w:tcBorders>
                    <w:tl2br w:val="nil"/>
                    <w:tr2bl w:val="nil"/>
                  </w:tcBorders>
                  <w:noWrap w:val="0"/>
                  <w:vAlign w:val="center"/>
                </w:tcPr>
                <w:p w14:paraId="2A27F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eastAsia" w:cs="Times New Roman"/>
                      <w:color w:val="auto"/>
                      <w:sz w:val="21"/>
                      <w:szCs w:val="21"/>
                      <w:highlight w:val="yellow"/>
                      <w:vertAlign w:val="baseline"/>
                      <w:lang w:val="en-US" w:eastAsia="zh-CN"/>
                    </w:rPr>
                    <w:t>1167</w:t>
                  </w:r>
                </w:p>
              </w:tc>
              <w:tc>
                <w:tcPr>
                  <w:tcW w:w="1870" w:type="pct"/>
                  <w:tcBorders>
                    <w:tl2br w:val="nil"/>
                    <w:tr2bl w:val="nil"/>
                  </w:tcBorders>
                  <w:shd w:val="clear" w:color="auto" w:fill="auto"/>
                  <w:noWrap w:val="0"/>
                  <w:vAlign w:val="center"/>
                </w:tcPr>
                <w:p w14:paraId="0B3302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yellow"/>
                      <w:vertAlign w:val="baseline"/>
                      <w:lang w:val="en-US" w:eastAsia="zh-CN"/>
                    </w:rPr>
                    <w:t>/</w:t>
                  </w:r>
                </w:p>
              </w:tc>
            </w:tr>
          </w:tbl>
          <w:p w14:paraId="208F673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highlight w:val="none"/>
              </w:rPr>
              <w:t>（2）</w:t>
            </w:r>
            <w:r>
              <w:rPr>
                <w:rFonts w:hint="eastAsia"/>
                <w:color w:val="auto"/>
                <w:highlight w:val="none"/>
              </w:rPr>
              <w:t>一般路基设计</w:t>
            </w:r>
          </w:p>
          <w:p w14:paraId="4014004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1）路基高度</w:t>
            </w:r>
          </w:p>
          <w:p w14:paraId="0F773667">
            <w:pPr>
              <w:keepNext w:val="0"/>
              <w:keepLines w:val="0"/>
              <w:pageBreakBefore w:val="0"/>
              <w:widowControl w:val="0"/>
              <w:kinsoku/>
              <w:wordWrap/>
              <w:overflowPunct/>
              <w:topLinePunct w:val="0"/>
              <w:autoSpaceDE/>
              <w:autoSpaceDN/>
              <w:bidi w:val="0"/>
              <w:spacing w:line="360" w:lineRule="auto"/>
              <w:ind w:firstLine="480"/>
              <w:textAlignment w:val="auto"/>
              <w:rPr>
                <w:rFonts w:hint="eastAsia"/>
                <w:color w:val="auto"/>
                <w:highlight w:val="none"/>
              </w:rPr>
            </w:pPr>
            <w:r>
              <w:rPr>
                <w:rFonts w:hint="eastAsia"/>
                <w:color w:val="auto"/>
                <w:highlight w:val="none"/>
              </w:rPr>
              <w:t>本次项目是利用旧路改建，路基高度按现有旧路路基标高进行控制，本项目路基设计洪水频率为1/25。全线填方路基高度均小于3m，</w:t>
            </w:r>
            <w:r>
              <w:rPr>
                <w:rFonts w:hint="default" w:ascii="Times New Roman" w:hAnsi="Times New Roman" w:eastAsia="宋体" w:cs="Times New Roman"/>
                <w:color w:val="auto"/>
                <w:sz w:val="24"/>
                <w:szCs w:val="24"/>
                <w:highlight w:val="none"/>
                <w:lang w:eastAsia="zh-CN"/>
              </w:rPr>
              <w:t>路基加宽大部分路段不需新增永久用地，利用原有旧路边沟占地宽度。</w:t>
            </w:r>
          </w:p>
          <w:p w14:paraId="742BD9CD">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道路两侧大部分路段设有防护林带；同时项目位于平原区，冬季风速较快，道路上基本无积雪，不存在雪阻问题，因此不考虑雪阻设计所需要的路基高度。</w:t>
            </w:r>
          </w:p>
          <w:p w14:paraId="22418842">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受道路两侧取土边沟的影响，路基土基本处于干燥状态，路基高度满足最低填土高度，满足冻胀要求，因此不考虑冻胀设计所需要的路基高度。</w:t>
            </w:r>
          </w:p>
          <w:p w14:paraId="278325B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highlight w:val="none"/>
              </w:rPr>
              <w:t>2）路基边坡</w:t>
            </w:r>
          </w:p>
          <w:p w14:paraId="0416E57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路堤边坡，路基填料主要为山皮石。全线填方路基高度均小于3m，边坡采用直线式，坡率采用1:1.5。</w:t>
            </w:r>
          </w:p>
          <w:p w14:paraId="7343493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eastAsia="宋体"/>
                <w:color w:val="auto"/>
                <w:highlight w:val="none"/>
                <w:lang w:eastAsia="zh-CN"/>
              </w:rPr>
            </w:pPr>
            <w:r>
              <w:rPr>
                <w:color w:val="auto"/>
                <w:highlight w:val="none"/>
              </w:rPr>
              <w:t>土路肩</w:t>
            </w:r>
            <w:r>
              <w:rPr>
                <w:rFonts w:hint="eastAsia"/>
                <w:color w:val="auto"/>
                <w:highlight w:val="none"/>
              </w:rPr>
              <w:t>：土路肩表面做成弧曲线形</w:t>
            </w:r>
            <w:r>
              <w:rPr>
                <w:rFonts w:hint="eastAsia"/>
                <w:color w:val="auto"/>
                <w:highlight w:val="none"/>
                <w:lang w:eastAsia="zh-CN"/>
              </w:rPr>
              <w:t>，土路肩2×0. 5m，土路肩横坡3％。</w:t>
            </w:r>
          </w:p>
          <w:p w14:paraId="7C5FD3E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eastAsia="宋体"/>
                <w:color w:val="auto"/>
                <w:highlight w:val="none"/>
                <w:lang w:eastAsia="zh-CN"/>
              </w:rPr>
            </w:pPr>
            <w:r>
              <w:rPr>
                <w:rFonts w:hint="eastAsia"/>
                <w:color w:val="auto"/>
                <w:highlight w:val="none"/>
              </w:rPr>
              <w:t>路拱横坡：</w:t>
            </w:r>
            <w:r>
              <w:rPr>
                <w:rFonts w:hint="default" w:ascii="Times New Roman" w:hAnsi="Times New Roman" w:eastAsia="宋体" w:cs="Times New Roman"/>
                <w:color w:val="auto"/>
                <w:sz w:val="24"/>
                <w:szCs w:val="24"/>
                <w:highlight w:val="none"/>
              </w:rPr>
              <w:t>路拱横坡行车道采用1.5%</w:t>
            </w:r>
            <w:r>
              <w:rPr>
                <w:rFonts w:hint="eastAsia" w:cs="Times New Roman"/>
                <w:color w:val="auto"/>
                <w:sz w:val="24"/>
                <w:szCs w:val="24"/>
                <w:highlight w:val="none"/>
                <w:lang w:eastAsia="zh-CN"/>
              </w:rPr>
              <w:t>。</w:t>
            </w:r>
          </w:p>
          <w:p w14:paraId="11EBD80F">
            <w:pPr>
              <w:ind w:firstLine="480"/>
              <w:rPr>
                <w:rFonts w:hint="default" w:ascii="Times New Roman" w:hAnsi="Times New Roman" w:eastAsia="宋体" w:cs="Times New Roman"/>
                <w:color w:val="auto"/>
                <w:sz w:val="24"/>
                <w:szCs w:val="24"/>
                <w:highlight w:val="none"/>
                <w:lang w:val="en-US" w:eastAsia="zh-CN"/>
              </w:rPr>
            </w:pPr>
            <w:r>
              <w:rPr>
                <w:color w:val="auto"/>
                <w:highlight w:val="none"/>
              </w:rPr>
              <w:t>3</w:t>
            </w:r>
            <w:r>
              <w:rPr>
                <w:rFonts w:hint="eastAsia"/>
                <w:color w:val="auto"/>
                <w:highlight w:val="none"/>
              </w:rPr>
              <w:t>）</w:t>
            </w:r>
            <w:r>
              <w:rPr>
                <w:rFonts w:hint="default" w:ascii="Times New Roman" w:hAnsi="Times New Roman" w:cs="Times New Roman"/>
                <w:color w:val="auto"/>
                <w:sz w:val="24"/>
                <w:szCs w:val="24"/>
                <w:highlight w:val="none"/>
                <w:lang w:val="en-US" w:eastAsia="zh-CN"/>
              </w:rPr>
              <w:t>现有道路路基处理方案</w:t>
            </w:r>
          </w:p>
          <w:p w14:paraId="1AA02962">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既有道路路基填土高度平均高出地面80～100cm，大部分道路两侧为既有道路建设时两侧取土遗留下来的边沟，边沟宽度在2～5m左右，边沟底距离路面顶部高差在1.5m以上，由于边沟隔断地下毛细水，所以路基处于干燥状态。本次工程将对旧路路基给予充分的利用。</w:t>
            </w:r>
          </w:p>
          <w:p w14:paraId="402512D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（3）特殊路基设计</w:t>
            </w:r>
          </w:p>
          <w:p w14:paraId="327A9F7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highlight w:val="none"/>
              </w:rPr>
            </w:pPr>
            <w:r>
              <w:rPr>
                <w:rFonts w:hint="eastAsia"/>
                <w:color w:val="auto"/>
                <w:highlight w:val="none"/>
              </w:rPr>
              <w:t>本项目不良地质为旧路翻浆，为保证路基的整体稳定性，需将旧路翻浆路基全部挖除，换填山皮石及旧路破碎的路面结构，重新分层填筑路基。</w:t>
            </w:r>
          </w:p>
          <w:p w14:paraId="72D9AD0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（4）路基压实</w:t>
            </w:r>
          </w:p>
          <w:p w14:paraId="443BD95E">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路基采用重型压实标准，路基填料要求符合《公路路基设计规范》的有关规定，路床填料均匀，路堤分层铺筑，均匀碾压，路基压实按现行《公路工程技术标准》（JTG B01—2014)中的规定执行，见表</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5619CFAD">
            <w:pPr>
              <w:spacing w:line="240" w:lineRule="auto"/>
              <w:ind w:left="0" w:leftChars="0" w:firstLine="0" w:firstLineChars="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表2-</w:t>
            </w: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val="en-US" w:eastAsia="zh-CN"/>
              </w:rPr>
              <w:t>路基压实度</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096"/>
              <w:gridCol w:w="2098"/>
              <w:gridCol w:w="2098"/>
            </w:tblGrid>
            <w:tr w14:paraId="62821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76543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路基部位</w:t>
                  </w:r>
                </w:p>
              </w:tc>
              <w:tc>
                <w:tcPr>
                  <w:tcW w:w="2499" w:type="pct"/>
                  <w:gridSpan w:val="2"/>
                  <w:tcBorders>
                    <w:tl2br w:val="nil"/>
                    <w:tr2bl w:val="nil"/>
                  </w:tcBorders>
                  <w:noWrap w:val="0"/>
                  <w:vAlign w:val="center"/>
                </w:tcPr>
                <w:p w14:paraId="36465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路床顶面以下深度（cm）</w:t>
                  </w:r>
                </w:p>
              </w:tc>
              <w:tc>
                <w:tcPr>
                  <w:tcW w:w="1250" w:type="pct"/>
                  <w:tcBorders>
                    <w:tl2br w:val="nil"/>
                    <w:tr2bl w:val="nil"/>
                  </w:tcBorders>
                  <w:noWrap w:val="0"/>
                  <w:vAlign w:val="center"/>
                </w:tcPr>
                <w:p w14:paraId="6DA485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路基压实度（%）</w:t>
                  </w:r>
                </w:p>
              </w:tc>
            </w:tr>
            <w:tr w14:paraId="7A3CD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noWrap w:val="0"/>
                  <w:vAlign w:val="center"/>
                </w:tcPr>
                <w:p w14:paraId="04F9BD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路床</w:t>
                  </w:r>
                </w:p>
              </w:tc>
              <w:tc>
                <w:tcPr>
                  <w:tcW w:w="1249" w:type="pct"/>
                  <w:tcBorders>
                    <w:tl2br w:val="nil"/>
                    <w:tr2bl w:val="nil"/>
                  </w:tcBorders>
                  <w:noWrap w:val="0"/>
                  <w:vAlign w:val="center"/>
                </w:tcPr>
                <w:p w14:paraId="0D7D7E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上路床</w:t>
                  </w:r>
                </w:p>
              </w:tc>
              <w:tc>
                <w:tcPr>
                  <w:tcW w:w="1249" w:type="pct"/>
                  <w:tcBorders>
                    <w:tl2br w:val="nil"/>
                    <w:tr2bl w:val="nil"/>
                  </w:tcBorders>
                  <w:noWrap w:val="0"/>
                  <w:vAlign w:val="center"/>
                </w:tcPr>
                <w:p w14:paraId="79AB3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0~30</w:t>
                  </w:r>
                </w:p>
              </w:tc>
              <w:tc>
                <w:tcPr>
                  <w:tcW w:w="1250" w:type="pct"/>
                  <w:tcBorders>
                    <w:tl2br w:val="nil"/>
                    <w:tr2bl w:val="nil"/>
                  </w:tcBorders>
                  <w:noWrap w:val="0"/>
                  <w:vAlign w:val="center"/>
                </w:tcPr>
                <w:p w14:paraId="693F68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cs="Times New Roman"/>
                      <w:color w:val="auto"/>
                      <w:sz w:val="21"/>
                      <w:szCs w:val="21"/>
                      <w:highlight w:val="none"/>
                      <w:vertAlign w:val="baseline"/>
                      <w:lang w:val="en-US" w:eastAsia="zh-CN"/>
                    </w:rPr>
                    <w:t>≥95</w:t>
                  </w:r>
                </w:p>
              </w:tc>
            </w:tr>
            <w:tr w14:paraId="26ABE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noWrap w:val="0"/>
                  <w:vAlign w:val="center"/>
                </w:tcPr>
                <w:p w14:paraId="10C3B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249" w:type="pct"/>
                  <w:tcBorders>
                    <w:tl2br w:val="nil"/>
                    <w:tr2bl w:val="nil"/>
                  </w:tcBorders>
                  <w:noWrap w:val="0"/>
                  <w:vAlign w:val="center"/>
                </w:tcPr>
                <w:p w14:paraId="6A4C87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下路床</w:t>
                  </w:r>
                </w:p>
              </w:tc>
              <w:tc>
                <w:tcPr>
                  <w:tcW w:w="1249" w:type="pct"/>
                  <w:tcBorders>
                    <w:tl2br w:val="nil"/>
                    <w:tr2bl w:val="nil"/>
                  </w:tcBorders>
                  <w:noWrap w:val="0"/>
                  <w:vAlign w:val="center"/>
                </w:tcPr>
                <w:p w14:paraId="71CAC1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30~80</w:t>
                  </w:r>
                </w:p>
              </w:tc>
              <w:tc>
                <w:tcPr>
                  <w:tcW w:w="1250" w:type="pct"/>
                  <w:tcBorders>
                    <w:tl2br w:val="nil"/>
                    <w:tr2bl w:val="nil"/>
                  </w:tcBorders>
                  <w:noWrap w:val="0"/>
                  <w:vAlign w:val="center"/>
                </w:tcPr>
                <w:p w14:paraId="5A764C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cs="Times New Roman"/>
                      <w:color w:val="auto"/>
                      <w:sz w:val="21"/>
                      <w:szCs w:val="21"/>
                      <w:highlight w:val="none"/>
                      <w:vertAlign w:val="baseline"/>
                      <w:lang w:val="en-US" w:eastAsia="zh-CN"/>
                    </w:rPr>
                    <w:t>≥95</w:t>
                  </w:r>
                </w:p>
              </w:tc>
            </w:tr>
            <w:tr w14:paraId="2DA71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noWrap w:val="0"/>
                  <w:vAlign w:val="center"/>
                </w:tcPr>
                <w:p w14:paraId="107615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路堤</w:t>
                  </w:r>
                </w:p>
              </w:tc>
              <w:tc>
                <w:tcPr>
                  <w:tcW w:w="1249" w:type="pct"/>
                  <w:tcBorders>
                    <w:tl2br w:val="nil"/>
                    <w:tr2bl w:val="nil"/>
                  </w:tcBorders>
                  <w:noWrap w:val="0"/>
                  <w:vAlign w:val="center"/>
                </w:tcPr>
                <w:p w14:paraId="0237D7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上路堤</w:t>
                  </w:r>
                </w:p>
              </w:tc>
              <w:tc>
                <w:tcPr>
                  <w:tcW w:w="1249" w:type="pct"/>
                  <w:tcBorders>
                    <w:tl2br w:val="nil"/>
                    <w:tr2bl w:val="nil"/>
                  </w:tcBorders>
                  <w:noWrap w:val="0"/>
                  <w:vAlign w:val="center"/>
                </w:tcPr>
                <w:p w14:paraId="4AC836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80~150</w:t>
                  </w:r>
                </w:p>
              </w:tc>
              <w:tc>
                <w:tcPr>
                  <w:tcW w:w="1250" w:type="pct"/>
                  <w:tcBorders>
                    <w:tl2br w:val="nil"/>
                    <w:tr2bl w:val="nil"/>
                  </w:tcBorders>
                  <w:noWrap w:val="0"/>
                  <w:vAlign w:val="center"/>
                </w:tcPr>
                <w:p w14:paraId="2463E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cs="Times New Roman"/>
                      <w:color w:val="auto"/>
                      <w:sz w:val="21"/>
                      <w:szCs w:val="21"/>
                      <w:highlight w:val="none"/>
                      <w:vertAlign w:val="baseline"/>
                      <w:lang w:val="en-US" w:eastAsia="zh-CN"/>
                    </w:rPr>
                    <w:t>≥94</w:t>
                  </w:r>
                </w:p>
              </w:tc>
            </w:tr>
            <w:tr w14:paraId="68319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noWrap w:val="0"/>
                  <w:vAlign w:val="center"/>
                </w:tcPr>
                <w:p w14:paraId="1E4738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249" w:type="pct"/>
                  <w:tcBorders>
                    <w:tl2br w:val="nil"/>
                    <w:tr2bl w:val="nil"/>
                  </w:tcBorders>
                  <w:noWrap w:val="0"/>
                  <w:vAlign w:val="center"/>
                </w:tcPr>
                <w:p w14:paraId="44401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下路堤</w:t>
                  </w:r>
                </w:p>
              </w:tc>
              <w:tc>
                <w:tcPr>
                  <w:tcW w:w="1249" w:type="pct"/>
                  <w:tcBorders>
                    <w:tl2br w:val="nil"/>
                    <w:tr2bl w:val="nil"/>
                  </w:tcBorders>
                  <w:noWrap w:val="0"/>
                  <w:vAlign w:val="center"/>
                </w:tcPr>
                <w:p w14:paraId="7339E6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cs="Times New Roman"/>
                      <w:color w:val="auto"/>
                      <w:sz w:val="21"/>
                      <w:szCs w:val="21"/>
                      <w:highlight w:val="none"/>
                      <w:vertAlign w:val="baseline"/>
                      <w:lang w:val="en-US" w:eastAsia="zh-CN"/>
                    </w:rPr>
                    <w:t>&gt;150</w:t>
                  </w:r>
                </w:p>
              </w:tc>
              <w:tc>
                <w:tcPr>
                  <w:tcW w:w="1250" w:type="pct"/>
                  <w:tcBorders>
                    <w:tl2br w:val="nil"/>
                    <w:tr2bl w:val="nil"/>
                  </w:tcBorders>
                  <w:noWrap w:val="0"/>
                  <w:vAlign w:val="center"/>
                </w:tcPr>
                <w:p w14:paraId="5F6C1A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cs="Times New Roman"/>
                      <w:color w:val="auto"/>
                      <w:sz w:val="21"/>
                      <w:szCs w:val="21"/>
                      <w:highlight w:val="none"/>
                      <w:vertAlign w:val="baseline"/>
                      <w:lang w:val="en-US" w:eastAsia="zh-CN"/>
                    </w:rPr>
                    <w:t>≥92</w:t>
                  </w:r>
                </w:p>
              </w:tc>
            </w:tr>
          </w:tbl>
          <w:p w14:paraId="1E6CBFDC">
            <w:pPr>
              <w:spacing w:line="480" w:lineRule="exact"/>
              <w:ind w:firstLine="480"/>
              <w:rPr>
                <w:color w:val="auto"/>
                <w:highlight w:val="none"/>
              </w:rPr>
            </w:pPr>
            <w:r>
              <w:rPr>
                <w:color w:val="auto"/>
                <w:highlight w:val="none"/>
              </w:rPr>
              <w:t>（5）路基防护</w:t>
            </w:r>
          </w:p>
          <w:p w14:paraId="6F803812">
            <w:pPr>
              <w:spacing w:line="480" w:lineRule="exact"/>
              <w:ind w:firstLine="480"/>
              <w:rPr>
                <w:rFonts w:hint="eastAsia"/>
                <w:color w:val="auto"/>
                <w:highlight w:val="none"/>
              </w:rPr>
            </w:pPr>
            <w:r>
              <w:rPr>
                <w:rFonts w:hint="eastAsia"/>
                <w:color w:val="auto"/>
                <w:highlight w:val="none"/>
              </w:rPr>
              <w:t>根据本段水文、地质条件及筑路材料来源等情况，以保证边坡稳定为前提，以固土为本，采取以绿色生物防护为主，绿色植物加骨架相结合的防护方案，尽量减少圬工体积。骨架内土方采用路基范围内种植土进行回填，以利于植被的生长。路基边坡防护，应根据不同的土壤地质情况，边坡高度，分别采用种草、框格、护坡、护面墙等形式。</w:t>
            </w:r>
          </w:p>
          <w:p w14:paraId="5BA404D5">
            <w:pPr>
              <w:spacing w:line="480" w:lineRule="exact"/>
              <w:ind w:firstLine="480"/>
              <w:rPr>
                <w:rFonts w:hint="eastAsia"/>
                <w:color w:val="auto"/>
                <w:highlight w:val="none"/>
              </w:rPr>
            </w:pPr>
            <w:r>
              <w:rPr>
                <w:rFonts w:hint="eastAsia"/>
                <w:color w:val="auto"/>
                <w:highlight w:val="none"/>
              </w:rPr>
              <w:t>为了确保公路的正常运营，防止路基边坡受到冲刷和水土流失，K5+230-K5+440段路基边缘为鱼塘，需进行河滩路基浆砌片石满铺防护处理。</w:t>
            </w:r>
          </w:p>
          <w:p w14:paraId="2D84477D">
            <w:pPr>
              <w:spacing w:line="480" w:lineRule="exact"/>
              <w:ind w:firstLine="480"/>
              <w:rPr>
                <w:color w:val="auto"/>
                <w:highlight w:val="none"/>
              </w:rPr>
            </w:pPr>
            <w:r>
              <w:rPr>
                <w:color w:val="auto"/>
                <w:highlight w:val="none"/>
              </w:rPr>
              <w:t>（6）路基、路面排水</w:t>
            </w:r>
          </w:p>
          <w:p w14:paraId="6CA8488D">
            <w:pPr>
              <w:spacing w:line="480" w:lineRule="exact"/>
              <w:ind w:firstLine="480"/>
              <w:rPr>
                <w:color w:val="auto"/>
                <w:highlight w:val="none"/>
              </w:rPr>
            </w:pPr>
            <w:r>
              <w:rPr>
                <w:rFonts w:hint="eastAsia"/>
                <w:color w:val="auto"/>
                <w:highlight w:val="none"/>
              </w:rPr>
              <w:t>1）</w:t>
            </w:r>
            <w:r>
              <w:rPr>
                <w:color w:val="auto"/>
                <w:highlight w:val="none"/>
              </w:rPr>
              <w:t>路基排水</w:t>
            </w:r>
          </w:p>
          <w:p w14:paraId="69C4C853">
            <w:pPr>
              <w:spacing w:line="480" w:lineRule="exact"/>
              <w:ind w:firstLine="480"/>
              <w:rPr>
                <w:rFonts w:hint="eastAsia"/>
                <w:color w:val="auto"/>
                <w:highlight w:val="none"/>
              </w:rPr>
            </w:pPr>
            <w:r>
              <w:rPr>
                <w:rFonts w:hint="eastAsia"/>
                <w:color w:val="auto"/>
                <w:highlight w:val="none"/>
              </w:rPr>
              <w:t>旧路路基两侧设有土质排水沟，沟内已经长有草皮，排水畅通。与涵洞相结合，形成完善的排水系统。旧路路基边坡无滑塌现象，自然植被茂盛，边坡长满了草皮，基本无破损，植物防护完好。</w:t>
            </w:r>
          </w:p>
          <w:p w14:paraId="324D7B25">
            <w:pPr>
              <w:spacing w:line="480" w:lineRule="exact"/>
              <w:ind w:firstLine="480"/>
              <w:rPr>
                <w:rFonts w:hint="eastAsia"/>
                <w:color w:val="auto"/>
                <w:highlight w:val="none"/>
              </w:rPr>
            </w:pPr>
            <w:r>
              <w:rPr>
                <w:rFonts w:hint="eastAsia"/>
                <w:color w:val="auto"/>
                <w:highlight w:val="none"/>
              </w:rPr>
              <w:t>本次路基设计将充分利用旧路路基排水，本次设计利用原有旧路排水沟，部分村屯过境段新增浆砌片石排水边沟。</w:t>
            </w:r>
          </w:p>
          <w:p w14:paraId="7161D5E6">
            <w:pPr>
              <w:spacing w:line="480" w:lineRule="exact"/>
              <w:ind w:firstLine="480"/>
              <w:rPr>
                <w:color w:val="auto"/>
                <w:highlight w:val="none"/>
              </w:rPr>
            </w:pPr>
            <w:r>
              <w:rPr>
                <w:rFonts w:hint="eastAsia"/>
                <w:color w:val="auto"/>
                <w:highlight w:val="none"/>
              </w:rPr>
              <w:t>2）</w:t>
            </w:r>
            <w:r>
              <w:rPr>
                <w:color w:val="auto"/>
                <w:highlight w:val="none"/>
              </w:rPr>
              <w:t>路面排水</w:t>
            </w:r>
          </w:p>
          <w:p w14:paraId="42CBB5CB">
            <w:pPr>
              <w:spacing w:line="480" w:lineRule="exact"/>
              <w:ind w:firstLine="482"/>
              <w:rPr>
                <w:rFonts w:hint="eastAsia"/>
                <w:color w:val="auto"/>
                <w:highlight w:val="none"/>
              </w:rPr>
            </w:pPr>
            <w:r>
              <w:rPr>
                <w:rFonts w:hint="eastAsia"/>
                <w:color w:val="auto"/>
                <w:highlight w:val="none"/>
              </w:rPr>
              <w:t>本项目路线纵横向均有起伏，排水条件好，路面排水宜采用分散排水的形式（由路面横坡、路肩、边坡防护组成），使雨水漫流排至路基边沟，并排离路基范围以外。</w:t>
            </w:r>
          </w:p>
          <w:p w14:paraId="0D8407B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color w:val="auto"/>
                <w:highlight w:val="none"/>
              </w:rPr>
            </w:pPr>
            <w:r>
              <w:rPr>
                <w:b/>
                <w:color w:val="auto"/>
                <w:highlight w:val="none"/>
              </w:rPr>
              <w:t>4、路面工程</w:t>
            </w:r>
          </w:p>
          <w:p w14:paraId="3F62EF4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①</w:t>
            </w:r>
            <w:r>
              <w:rPr>
                <w:rFonts w:hint="default" w:ascii="Times New Roman" w:hAnsi="Times New Roman" w:cs="Times New Roman"/>
                <w:color w:val="auto"/>
                <w:sz w:val="24"/>
                <w:szCs w:val="24"/>
                <w:highlight w:val="none"/>
                <w:lang w:val="en-US" w:eastAsia="zh-CN"/>
              </w:rPr>
              <w:t>路面面层、底基层</w:t>
            </w:r>
          </w:p>
          <w:p w14:paraId="543695D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适应公路不断变化的交通量增长情况和要求，新建路段结构层选择了以水泥、碎石、砂砾等为主要材料的水泥稳定粒料结构。这种半刚性路面基层温度收缩、干缩系数小，刚度比较适当，抗拉强度高，水稳性与抗冻性好，且施工比较容易。合理利用现有旧路路面结构路段采用旧路水泥混凝土路面帮宽水泥稳定砂砾后兰派打裂化结构作为底基层。</w:t>
            </w:r>
          </w:p>
          <w:p w14:paraId="3E73A38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②</w:t>
            </w:r>
            <w:r>
              <w:rPr>
                <w:rFonts w:hint="default" w:ascii="Times New Roman" w:hAnsi="Times New Roman" w:cs="Times New Roman"/>
                <w:color w:val="auto"/>
                <w:sz w:val="24"/>
                <w:szCs w:val="24"/>
                <w:highlight w:val="none"/>
                <w:lang w:val="en-US" w:eastAsia="zh-CN"/>
              </w:rPr>
              <w:t>路面结构组合设计</w:t>
            </w:r>
          </w:p>
          <w:p w14:paraId="24192DD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路面结构层的厚度计算，按现行的交通部颁发的《公路水泥混凝土路面设计规范》</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JTG D40—2011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进行设计，以BZZ－100作为标准轴载。</w:t>
            </w:r>
          </w:p>
          <w:p w14:paraId="2747523D">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本项目推荐路面结构见表2-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、表2-</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w:t>
            </w:r>
          </w:p>
          <w:p w14:paraId="54E24FF0">
            <w:pPr>
              <w:spacing w:line="240" w:lineRule="auto"/>
              <w:ind w:left="0" w:leftChars="0" w:firstLine="0" w:firstLineChars="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表2-</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 xml:space="preserve"> 旧路加宽路面结构表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3"/>
              <w:gridCol w:w="1250"/>
              <w:gridCol w:w="2687"/>
              <w:gridCol w:w="2621"/>
            </w:tblGrid>
            <w:tr w14:paraId="54E37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55D0E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水泥混凝土路面结构</w:t>
                  </w:r>
                </w:p>
              </w:tc>
            </w:tr>
            <w:tr w14:paraId="6CFDF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14:paraId="7661B7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设计厚度（cm）</w:t>
                  </w:r>
                </w:p>
              </w:tc>
              <w:tc>
                <w:tcPr>
                  <w:tcW w:w="745" w:type="pct"/>
                  <w:tcBorders>
                    <w:tl2br w:val="nil"/>
                    <w:tr2bl w:val="nil"/>
                  </w:tcBorders>
                  <w:noWrap w:val="0"/>
                  <w:vAlign w:val="center"/>
                </w:tcPr>
                <w:p w14:paraId="105F61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路面结构</w:t>
                  </w:r>
                </w:p>
              </w:tc>
              <w:tc>
                <w:tcPr>
                  <w:tcW w:w="1601" w:type="pct"/>
                  <w:tcBorders>
                    <w:tl2br w:val="nil"/>
                    <w:tr2bl w:val="nil"/>
                  </w:tcBorders>
                  <w:noWrap w:val="0"/>
                  <w:vAlign w:val="center"/>
                </w:tcPr>
                <w:p w14:paraId="5A0496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结构名称</w:t>
                  </w:r>
                </w:p>
              </w:tc>
              <w:tc>
                <w:tcPr>
                  <w:tcW w:w="1560" w:type="pct"/>
                  <w:tcBorders>
                    <w:tl2br w:val="nil"/>
                    <w:tr2bl w:val="nil"/>
                  </w:tcBorders>
                  <w:noWrap w:val="0"/>
                  <w:vAlign w:val="center"/>
                </w:tcPr>
                <w:p w14:paraId="45204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备注</w:t>
                  </w:r>
                </w:p>
              </w:tc>
            </w:tr>
            <w:tr w14:paraId="74ABD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14:paraId="61CFE9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w:t>
                  </w:r>
                </w:p>
              </w:tc>
              <w:tc>
                <w:tcPr>
                  <w:tcW w:w="745" w:type="pct"/>
                  <w:tcBorders>
                    <w:tl2br w:val="nil"/>
                    <w:tr2bl w:val="nil"/>
                  </w:tcBorders>
                  <w:noWrap w:val="0"/>
                  <w:vAlign w:val="center"/>
                </w:tcPr>
                <w:p w14:paraId="76F1B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面层</w:t>
                  </w:r>
                </w:p>
              </w:tc>
              <w:tc>
                <w:tcPr>
                  <w:tcW w:w="1601" w:type="pct"/>
                  <w:tcBorders>
                    <w:tl2br w:val="nil"/>
                    <w:tr2bl w:val="nil"/>
                  </w:tcBorders>
                  <w:noWrap w:val="0"/>
                  <w:vAlign w:val="center"/>
                </w:tcPr>
                <w:p w14:paraId="4229AD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水泥混凝土</w:t>
                  </w:r>
                </w:p>
              </w:tc>
              <w:tc>
                <w:tcPr>
                  <w:tcW w:w="1560" w:type="pct"/>
                  <w:tcBorders>
                    <w:tl2br w:val="nil"/>
                    <w:tr2bl w:val="nil"/>
                  </w:tcBorders>
                  <w:noWrap w:val="0"/>
                  <w:vAlign w:val="center"/>
                </w:tcPr>
                <w:p w14:paraId="1C249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476F4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14:paraId="48641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w:t>
                  </w:r>
                </w:p>
              </w:tc>
              <w:tc>
                <w:tcPr>
                  <w:tcW w:w="745" w:type="pct"/>
                  <w:tcBorders>
                    <w:tl2br w:val="nil"/>
                    <w:tr2bl w:val="nil"/>
                  </w:tcBorders>
                  <w:noWrap w:val="0"/>
                  <w:vAlign w:val="center"/>
                </w:tcPr>
                <w:p w14:paraId="72B2C4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基层</w:t>
                  </w:r>
                </w:p>
              </w:tc>
              <w:tc>
                <w:tcPr>
                  <w:tcW w:w="1601" w:type="pct"/>
                  <w:tcBorders>
                    <w:tl2br w:val="nil"/>
                    <w:tr2bl w:val="nil"/>
                  </w:tcBorders>
                  <w:noWrap w:val="0"/>
                  <w:vAlign w:val="center"/>
                </w:tcPr>
                <w:p w14:paraId="32C2C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6%水泥稳定（45%中砂+55%碎石）</w:t>
                  </w:r>
                </w:p>
              </w:tc>
              <w:tc>
                <w:tcPr>
                  <w:tcW w:w="1560" w:type="pct"/>
                  <w:tcBorders>
                    <w:tl2br w:val="nil"/>
                    <w:tr2bl w:val="nil"/>
                  </w:tcBorders>
                  <w:noWrap w:val="0"/>
                  <w:vAlign w:val="center"/>
                </w:tcPr>
                <w:p w14:paraId="5D470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0CB27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14:paraId="526DE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745" w:type="pct"/>
                  <w:tcBorders>
                    <w:tl2br w:val="nil"/>
                    <w:tr2bl w:val="nil"/>
                  </w:tcBorders>
                  <w:noWrap w:val="0"/>
                  <w:vAlign w:val="center"/>
                </w:tcPr>
                <w:p w14:paraId="29EA00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找平层</w:t>
                  </w:r>
                </w:p>
              </w:tc>
              <w:tc>
                <w:tcPr>
                  <w:tcW w:w="1601" w:type="pct"/>
                  <w:tcBorders>
                    <w:tl2br w:val="nil"/>
                    <w:tr2bl w:val="nil"/>
                  </w:tcBorders>
                  <w:noWrap w:val="0"/>
                  <w:vAlign w:val="center"/>
                </w:tcPr>
                <w:p w14:paraId="4C76BF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6%水泥稳定（45%中砂+55%碎石）</w:t>
                  </w:r>
                </w:p>
              </w:tc>
              <w:tc>
                <w:tcPr>
                  <w:tcW w:w="1560" w:type="pct"/>
                  <w:tcBorders>
                    <w:tl2br w:val="nil"/>
                    <w:tr2bl w:val="nil"/>
                  </w:tcBorders>
                  <w:noWrap w:val="0"/>
                  <w:vAlign w:val="center"/>
                </w:tcPr>
                <w:p w14:paraId="79298B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2630B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14:paraId="2EE30D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w:t>
                  </w:r>
                </w:p>
              </w:tc>
              <w:tc>
                <w:tcPr>
                  <w:tcW w:w="745" w:type="pct"/>
                  <w:tcBorders>
                    <w:tl2br w:val="nil"/>
                    <w:tr2bl w:val="nil"/>
                  </w:tcBorders>
                  <w:noWrap w:val="0"/>
                  <w:vAlign w:val="center"/>
                </w:tcPr>
                <w:p w14:paraId="541B8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底基层</w:t>
                  </w:r>
                </w:p>
              </w:tc>
              <w:tc>
                <w:tcPr>
                  <w:tcW w:w="1601" w:type="pct"/>
                  <w:tcBorders>
                    <w:tl2br w:val="nil"/>
                    <w:tr2bl w:val="nil"/>
                  </w:tcBorders>
                  <w:noWrap w:val="0"/>
                  <w:vAlign w:val="center"/>
                </w:tcPr>
                <w:p w14:paraId="542A3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贫混凝土棒宽</w:t>
                  </w:r>
                </w:p>
              </w:tc>
              <w:tc>
                <w:tcPr>
                  <w:tcW w:w="1560" w:type="pct"/>
                  <w:tcBorders>
                    <w:tl2br w:val="nil"/>
                    <w:tr2bl w:val="nil"/>
                  </w:tcBorders>
                  <w:noWrap w:val="0"/>
                  <w:vAlign w:val="center"/>
                </w:tcPr>
                <w:p w14:paraId="7819A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与旧路水泥混凝土路面打裂作为底基层</w:t>
                  </w:r>
                </w:p>
              </w:tc>
            </w:tr>
          </w:tbl>
          <w:p w14:paraId="1A786952">
            <w:pPr>
              <w:spacing w:line="240" w:lineRule="auto"/>
              <w:ind w:left="0" w:leftChars="0" w:firstLine="0" w:firstLineChars="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表2-</w:t>
            </w:r>
            <w:r>
              <w:rPr>
                <w:rFonts w:hint="eastAsia"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lang w:val="en-US" w:eastAsia="zh-CN"/>
              </w:rPr>
              <w:t xml:space="preserve"> 新建路段路面结构表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1249"/>
              <w:gridCol w:w="4070"/>
              <w:gridCol w:w="1240"/>
            </w:tblGrid>
            <w:tr w14:paraId="1282F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58629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水泥混凝土路面结构</w:t>
                  </w:r>
                </w:p>
              </w:tc>
            </w:tr>
            <w:tr w14:paraId="5B5DC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14:paraId="436878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设计厚度（cm）</w:t>
                  </w:r>
                </w:p>
              </w:tc>
              <w:tc>
                <w:tcPr>
                  <w:tcW w:w="744" w:type="pct"/>
                  <w:tcBorders>
                    <w:tl2br w:val="nil"/>
                    <w:tr2bl w:val="nil"/>
                  </w:tcBorders>
                  <w:noWrap w:val="0"/>
                  <w:vAlign w:val="center"/>
                </w:tcPr>
                <w:p w14:paraId="2AC28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路面结构</w:t>
                  </w:r>
                </w:p>
              </w:tc>
              <w:tc>
                <w:tcPr>
                  <w:tcW w:w="2425" w:type="pct"/>
                  <w:tcBorders>
                    <w:tl2br w:val="nil"/>
                    <w:tr2bl w:val="nil"/>
                  </w:tcBorders>
                  <w:noWrap w:val="0"/>
                  <w:vAlign w:val="center"/>
                </w:tcPr>
                <w:p w14:paraId="2C9526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结构名称</w:t>
                  </w:r>
                </w:p>
              </w:tc>
              <w:tc>
                <w:tcPr>
                  <w:tcW w:w="737" w:type="pct"/>
                  <w:tcBorders>
                    <w:tl2br w:val="nil"/>
                    <w:tr2bl w:val="nil"/>
                  </w:tcBorders>
                  <w:noWrap w:val="0"/>
                  <w:vAlign w:val="center"/>
                </w:tcPr>
                <w:p w14:paraId="7BAEB6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备注</w:t>
                  </w:r>
                </w:p>
              </w:tc>
            </w:tr>
            <w:tr w14:paraId="7C4E9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92" w:type="pct"/>
                  <w:tcBorders>
                    <w:tl2br w:val="nil"/>
                    <w:tr2bl w:val="nil"/>
                  </w:tcBorders>
                  <w:noWrap w:val="0"/>
                  <w:vAlign w:val="center"/>
                </w:tcPr>
                <w:p w14:paraId="44AEB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w:t>
                  </w:r>
                </w:p>
              </w:tc>
              <w:tc>
                <w:tcPr>
                  <w:tcW w:w="744" w:type="pct"/>
                  <w:tcBorders>
                    <w:tl2br w:val="nil"/>
                    <w:tr2bl w:val="nil"/>
                  </w:tcBorders>
                  <w:noWrap w:val="0"/>
                  <w:vAlign w:val="center"/>
                </w:tcPr>
                <w:p w14:paraId="21D8B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面层</w:t>
                  </w:r>
                </w:p>
              </w:tc>
              <w:tc>
                <w:tcPr>
                  <w:tcW w:w="2425" w:type="pct"/>
                  <w:tcBorders>
                    <w:tl2br w:val="nil"/>
                    <w:tr2bl w:val="nil"/>
                  </w:tcBorders>
                  <w:noWrap w:val="0"/>
                  <w:vAlign w:val="center"/>
                </w:tcPr>
                <w:p w14:paraId="379B05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水泥混凝土</w:t>
                  </w:r>
                </w:p>
              </w:tc>
              <w:tc>
                <w:tcPr>
                  <w:tcW w:w="737" w:type="pct"/>
                  <w:tcBorders>
                    <w:tl2br w:val="nil"/>
                    <w:tr2bl w:val="nil"/>
                  </w:tcBorders>
                  <w:noWrap w:val="0"/>
                  <w:vAlign w:val="center"/>
                </w:tcPr>
                <w:p w14:paraId="33DBD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14:paraId="63103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2" w:type="pct"/>
                  <w:tcBorders>
                    <w:tl2br w:val="nil"/>
                    <w:tr2bl w:val="nil"/>
                  </w:tcBorders>
                  <w:noWrap w:val="0"/>
                  <w:vAlign w:val="center"/>
                </w:tcPr>
                <w:p w14:paraId="135256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w:t>
                  </w:r>
                </w:p>
              </w:tc>
              <w:tc>
                <w:tcPr>
                  <w:tcW w:w="744" w:type="pct"/>
                  <w:tcBorders>
                    <w:tl2br w:val="nil"/>
                    <w:tr2bl w:val="nil"/>
                  </w:tcBorders>
                  <w:noWrap w:val="0"/>
                  <w:vAlign w:val="center"/>
                </w:tcPr>
                <w:p w14:paraId="7BA045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基层</w:t>
                  </w:r>
                </w:p>
              </w:tc>
              <w:tc>
                <w:tcPr>
                  <w:tcW w:w="2425" w:type="pct"/>
                  <w:tcBorders>
                    <w:tl2br w:val="nil"/>
                    <w:tr2bl w:val="nil"/>
                  </w:tcBorders>
                  <w:noWrap w:val="0"/>
                  <w:vAlign w:val="center"/>
                </w:tcPr>
                <w:p w14:paraId="1F6BD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6%水泥稳定（45%中砂+55%碎石）</w:t>
                  </w:r>
                </w:p>
              </w:tc>
              <w:tc>
                <w:tcPr>
                  <w:tcW w:w="737" w:type="pct"/>
                  <w:tcBorders>
                    <w:tl2br w:val="nil"/>
                    <w:tr2bl w:val="nil"/>
                  </w:tcBorders>
                  <w:noWrap w:val="0"/>
                  <w:vAlign w:val="center"/>
                </w:tcPr>
                <w:p w14:paraId="58759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bl>
          <w:p w14:paraId="198E16AF">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b/>
                <w:color w:val="auto"/>
                <w:highlight w:val="none"/>
              </w:rPr>
              <w:t>5、桥涵工程</w:t>
            </w:r>
          </w:p>
          <w:p w14:paraId="604B2E16">
            <w:pPr>
              <w:keepNext w:val="0"/>
              <w:keepLines w:val="0"/>
              <w:pageBreakBefore w:val="0"/>
              <w:widowControl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本项目路段内原有</w:t>
            </w:r>
            <w:r>
              <w:rPr>
                <w:rFonts w:hint="eastAsia" w:cs="Times New Roman"/>
                <w:color w:val="auto"/>
                <w:sz w:val="24"/>
                <w:szCs w:val="24"/>
                <w:highlight w:val="none"/>
                <w:lang w:val="en-US" w:eastAsia="zh-CN"/>
              </w:rPr>
              <w:t>小桥1座，</w:t>
            </w:r>
            <w:r>
              <w:rPr>
                <w:rFonts w:hint="default" w:ascii="Times New Roman" w:hAnsi="Times New Roman" w:cs="Times New Roman"/>
                <w:color w:val="auto"/>
                <w:sz w:val="24"/>
                <w:szCs w:val="24"/>
                <w:highlight w:val="none"/>
                <w:lang w:eastAsia="zh-CN"/>
              </w:rPr>
              <w:t>涵洞</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道</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钢筋混凝土圆管涵</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p>
          <w:p w14:paraId="36C54449">
            <w:pPr>
              <w:keepNext w:val="0"/>
              <w:keepLines w:val="0"/>
              <w:pageBreakBefore w:val="0"/>
              <w:widowControl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原有旧桥孔径为1孔13m，桥宽7.5m，净宽 6.5+2×0.5m</w:t>
            </w:r>
            <w:r>
              <w:rPr>
                <w:rFonts w:hint="eastAsia" w:cs="Times New Roman"/>
                <w:color w:val="auto"/>
                <w:sz w:val="24"/>
                <w:szCs w:val="24"/>
                <w:highlight w:val="none"/>
                <w:lang w:val="en-US" w:eastAsia="zh-CN"/>
              </w:rPr>
              <w:t>防撞</w:t>
            </w:r>
            <w:r>
              <w:rPr>
                <w:rFonts w:hint="default" w:ascii="Times New Roman" w:hAnsi="Times New Roman" w:cs="Times New Roman"/>
                <w:color w:val="auto"/>
                <w:sz w:val="24"/>
                <w:szCs w:val="24"/>
                <w:highlight w:val="none"/>
                <w:lang w:eastAsia="zh-CN"/>
              </w:rPr>
              <w:t>护栏</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上部为钢筋混凝土空心板，下部为柱式台，基础为钻孔桩基础。桥面铺装正常使用、搭板混凝土完好、无桥头跳车；主梁外观完好；台身混凝土完好，桥梁使用情况较好，予以利用。</w:t>
            </w:r>
          </w:p>
          <w:p w14:paraId="5D3CF709">
            <w:pPr>
              <w:keepNext w:val="0"/>
              <w:keepLines w:val="0"/>
              <w:pageBreakBefore w:val="0"/>
              <w:widowControl w:val="0"/>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原有涵洞5道(钢筋混凝土圆管涵)。涵洞目前整体使用状况均较差，存在涵顶破损严重、八字墙损坏、涵洞淤积、涵身破损、涵长不足等病害需拆除重建。本次初步设计涵洞12道，其中钢筋混凝土圆管涵11道（拆除新建5道、新建 6 道）、钢筋混凝土箱涵</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道（拆除新建）。</w:t>
            </w:r>
          </w:p>
          <w:p w14:paraId="7F4265E4">
            <w:pPr>
              <w:spacing w:line="240" w:lineRule="auto"/>
              <w:ind w:left="0" w:leftChars="0" w:firstLine="0" w:firstLineChars="0"/>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表2-</w:t>
            </w:r>
            <w:r>
              <w:rPr>
                <w:rFonts w:hint="eastAsia"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lang w:val="en-US" w:eastAsia="zh-CN"/>
              </w:rPr>
              <w:t xml:space="preserve"> 桥梁设置一览表</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012"/>
              <w:gridCol w:w="886"/>
              <w:gridCol w:w="958"/>
              <w:gridCol w:w="871"/>
              <w:gridCol w:w="872"/>
              <w:gridCol w:w="868"/>
              <w:gridCol w:w="709"/>
              <w:gridCol w:w="597"/>
              <w:gridCol w:w="686"/>
              <w:gridCol w:w="474"/>
            </w:tblGrid>
            <w:tr w14:paraId="31769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restart"/>
                  <w:tcBorders>
                    <w:tl2br w:val="nil"/>
                    <w:tr2bl w:val="nil"/>
                  </w:tcBorders>
                  <w:noWrap w:val="0"/>
                  <w:vAlign w:val="center"/>
                </w:tcPr>
                <w:p w14:paraId="320B4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603" w:type="pct"/>
                  <w:vMerge w:val="restart"/>
                  <w:tcBorders>
                    <w:tl2br w:val="nil"/>
                    <w:tr2bl w:val="nil"/>
                  </w:tcBorders>
                  <w:noWrap w:val="0"/>
                  <w:vAlign w:val="center"/>
                </w:tcPr>
                <w:p w14:paraId="1C89AB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中心桩号</w:t>
                  </w:r>
                </w:p>
              </w:tc>
              <w:tc>
                <w:tcPr>
                  <w:tcW w:w="540" w:type="pct"/>
                  <w:vMerge w:val="restart"/>
                  <w:tcBorders>
                    <w:tl2br w:val="nil"/>
                    <w:tr2bl w:val="nil"/>
                  </w:tcBorders>
                  <w:noWrap w:val="0"/>
                  <w:vAlign w:val="center"/>
                </w:tcPr>
                <w:p w14:paraId="3AF42A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桥梁名称</w:t>
                  </w:r>
                </w:p>
              </w:tc>
              <w:tc>
                <w:tcPr>
                  <w:tcW w:w="583" w:type="pct"/>
                  <w:vMerge w:val="restart"/>
                  <w:tcBorders>
                    <w:tl2br w:val="nil"/>
                    <w:tr2bl w:val="nil"/>
                  </w:tcBorders>
                  <w:noWrap w:val="0"/>
                  <w:vAlign w:val="center"/>
                </w:tcPr>
                <w:p w14:paraId="0D7C9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孔数及孔径</w:t>
                  </w:r>
                </w:p>
              </w:tc>
              <w:tc>
                <w:tcPr>
                  <w:tcW w:w="531" w:type="pct"/>
                  <w:vMerge w:val="restart"/>
                  <w:tcBorders>
                    <w:tl2br w:val="nil"/>
                    <w:tr2bl w:val="nil"/>
                  </w:tcBorders>
                  <w:noWrap w:val="0"/>
                  <w:vAlign w:val="center"/>
                </w:tcPr>
                <w:p w14:paraId="265ED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桥梁全长（m）</w:t>
                  </w:r>
                </w:p>
              </w:tc>
              <w:tc>
                <w:tcPr>
                  <w:tcW w:w="531" w:type="pct"/>
                  <w:vMerge w:val="restart"/>
                  <w:tcBorders>
                    <w:tl2br w:val="nil"/>
                    <w:tr2bl w:val="nil"/>
                  </w:tcBorders>
                  <w:noWrap w:val="0"/>
                  <w:vAlign w:val="center"/>
                </w:tcPr>
                <w:p w14:paraId="40A81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桥梁宽度（m）</w:t>
                  </w:r>
                </w:p>
              </w:tc>
              <w:tc>
                <w:tcPr>
                  <w:tcW w:w="413" w:type="pct"/>
                  <w:vMerge w:val="restart"/>
                  <w:tcBorders>
                    <w:tl2br w:val="nil"/>
                    <w:tr2bl w:val="nil"/>
                  </w:tcBorders>
                  <w:noWrap w:val="0"/>
                  <w:vAlign w:val="center"/>
                </w:tcPr>
                <w:p w14:paraId="5C8A5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桥面面积（m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p>
              </w:tc>
              <w:tc>
                <w:tcPr>
                  <w:tcW w:w="801" w:type="pct"/>
                  <w:gridSpan w:val="2"/>
                  <w:tcBorders>
                    <w:tl2br w:val="nil"/>
                    <w:tr2bl w:val="nil"/>
                  </w:tcBorders>
                  <w:noWrap w:val="0"/>
                  <w:vAlign w:val="center"/>
                </w:tcPr>
                <w:p w14:paraId="37692D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结构类型</w:t>
                  </w:r>
                </w:p>
              </w:tc>
              <w:tc>
                <w:tcPr>
                  <w:tcW w:w="420" w:type="pct"/>
                  <w:vMerge w:val="restart"/>
                  <w:tcBorders>
                    <w:tl2br w:val="nil"/>
                    <w:tr2bl w:val="nil"/>
                  </w:tcBorders>
                  <w:noWrap w:val="0"/>
                  <w:vAlign w:val="center"/>
                </w:tcPr>
                <w:p w14:paraId="40DEAB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基础</w:t>
                  </w:r>
                </w:p>
              </w:tc>
              <w:tc>
                <w:tcPr>
                  <w:tcW w:w="294" w:type="pct"/>
                  <w:vMerge w:val="restart"/>
                  <w:tcBorders>
                    <w:tl2br w:val="nil"/>
                    <w:tr2bl w:val="nil"/>
                  </w:tcBorders>
                  <w:noWrap w:val="0"/>
                  <w:vAlign w:val="center"/>
                </w:tcPr>
                <w:p w14:paraId="2151A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备注</w:t>
                  </w:r>
                </w:p>
              </w:tc>
            </w:tr>
            <w:tr w14:paraId="42064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tcBorders>
                    <w:tl2br w:val="nil"/>
                    <w:tr2bl w:val="nil"/>
                  </w:tcBorders>
                  <w:noWrap w:val="0"/>
                  <w:vAlign w:val="center"/>
                </w:tcPr>
                <w:p w14:paraId="7C9393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eastAsia="zh-CN"/>
                    </w:rPr>
                  </w:pPr>
                </w:p>
              </w:tc>
              <w:tc>
                <w:tcPr>
                  <w:tcW w:w="603" w:type="pct"/>
                  <w:vMerge w:val="continue"/>
                  <w:tcBorders>
                    <w:tl2br w:val="nil"/>
                    <w:tr2bl w:val="nil"/>
                  </w:tcBorders>
                  <w:noWrap w:val="0"/>
                  <w:vAlign w:val="center"/>
                </w:tcPr>
                <w:p w14:paraId="2D7E3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eastAsia="zh-CN"/>
                    </w:rPr>
                  </w:pPr>
                </w:p>
              </w:tc>
              <w:tc>
                <w:tcPr>
                  <w:tcW w:w="540" w:type="pct"/>
                  <w:vMerge w:val="continue"/>
                  <w:tcBorders>
                    <w:tl2br w:val="nil"/>
                    <w:tr2bl w:val="nil"/>
                  </w:tcBorders>
                  <w:noWrap w:val="0"/>
                  <w:vAlign w:val="center"/>
                </w:tcPr>
                <w:p w14:paraId="74E7CF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eastAsia="zh-CN"/>
                    </w:rPr>
                  </w:pPr>
                </w:p>
              </w:tc>
              <w:tc>
                <w:tcPr>
                  <w:tcW w:w="583" w:type="pct"/>
                  <w:vMerge w:val="continue"/>
                  <w:tcBorders>
                    <w:tl2br w:val="nil"/>
                    <w:tr2bl w:val="nil"/>
                  </w:tcBorders>
                  <w:noWrap w:val="0"/>
                  <w:vAlign w:val="center"/>
                </w:tcPr>
                <w:p w14:paraId="41EA28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eastAsia="zh-CN"/>
                    </w:rPr>
                  </w:pPr>
                </w:p>
              </w:tc>
              <w:tc>
                <w:tcPr>
                  <w:tcW w:w="531" w:type="pct"/>
                  <w:vMerge w:val="continue"/>
                  <w:tcBorders>
                    <w:tl2br w:val="nil"/>
                    <w:tr2bl w:val="nil"/>
                  </w:tcBorders>
                  <w:noWrap w:val="0"/>
                  <w:vAlign w:val="center"/>
                </w:tcPr>
                <w:p w14:paraId="203F48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eastAsia="zh-CN"/>
                    </w:rPr>
                  </w:pPr>
                </w:p>
              </w:tc>
              <w:tc>
                <w:tcPr>
                  <w:tcW w:w="531" w:type="pct"/>
                  <w:vMerge w:val="continue"/>
                  <w:tcBorders>
                    <w:tl2br w:val="nil"/>
                    <w:tr2bl w:val="nil"/>
                  </w:tcBorders>
                  <w:noWrap w:val="0"/>
                  <w:vAlign w:val="center"/>
                </w:tcPr>
                <w:p w14:paraId="7E8E06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eastAsia="zh-CN"/>
                    </w:rPr>
                  </w:pPr>
                </w:p>
              </w:tc>
              <w:tc>
                <w:tcPr>
                  <w:tcW w:w="413" w:type="pct"/>
                  <w:vMerge w:val="continue"/>
                  <w:tcBorders>
                    <w:tl2br w:val="nil"/>
                    <w:tr2bl w:val="nil"/>
                  </w:tcBorders>
                  <w:noWrap w:val="0"/>
                  <w:vAlign w:val="center"/>
                </w:tcPr>
                <w:p w14:paraId="06578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eastAsia="zh-CN"/>
                    </w:rPr>
                  </w:pPr>
                </w:p>
              </w:tc>
              <w:tc>
                <w:tcPr>
                  <w:tcW w:w="434" w:type="pct"/>
                  <w:tcBorders>
                    <w:tl2br w:val="nil"/>
                    <w:tr2bl w:val="nil"/>
                  </w:tcBorders>
                  <w:noWrap w:val="0"/>
                  <w:vAlign w:val="center"/>
                </w:tcPr>
                <w:p w14:paraId="016F9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上部构造</w:t>
                  </w:r>
                </w:p>
              </w:tc>
              <w:tc>
                <w:tcPr>
                  <w:tcW w:w="366" w:type="pct"/>
                  <w:tcBorders>
                    <w:tl2br w:val="nil"/>
                    <w:tr2bl w:val="nil"/>
                  </w:tcBorders>
                  <w:noWrap w:val="0"/>
                  <w:vAlign w:val="center"/>
                </w:tcPr>
                <w:p w14:paraId="0EAFF1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下部构造</w:t>
                  </w:r>
                </w:p>
              </w:tc>
              <w:tc>
                <w:tcPr>
                  <w:tcW w:w="420" w:type="pct"/>
                  <w:vMerge w:val="continue"/>
                  <w:tcBorders>
                    <w:tl2br w:val="nil"/>
                    <w:tr2bl w:val="nil"/>
                  </w:tcBorders>
                  <w:noWrap w:val="0"/>
                  <w:vAlign w:val="center"/>
                </w:tcPr>
                <w:p w14:paraId="6C0CA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eastAsia="zh-CN"/>
                    </w:rPr>
                  </w:pPr>
                </w:p>
              </w:tc>
              <w:tc>
                <w:tcPr>
                  <w:tcW w:w="294" w:type="pct"/>
                  <w:vMerge w:val="continue"/>
                  <w:tcBorders>
                    <w:tl2br w:val="nil"/>
                    <w:tr2bl w:val="nil"/>
                  </w:tcBorders>
                  <w:noWrap w:val="0"/>
                  <w:vAlign w:val="center"/>
                </w:tcPr>
                <w:p w14:paraId="5B3C6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eastAsia="zh-CN"/>
                    </w:rPr>
                  </w:pPr>
                </w:p>
              </w:tc>
            </w:tr>
            <w:tr w14:paraId="18C2C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tcBorders>
                    <w:tl2br w:val="nil"/>
                    <w:tr2bl w:val="nil"/>
                  </w:tcBorders>
                  <w:noWrap w:val="0"/>
                  <w:vAlign w:val="center"/>
                </w:tcPr>
                <w:p w14:paraId="000ADE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603" w:type="pct"/>
                  <w:tcBorders>
                    <w:tl2br w:val="nil"/>
                    <w:tr2bl w:val="nil"/>
                  </w:tcBorders>
                  <w:noWrap w:val="0"/>
                  <w:vAlign w:val="center"/>
                </w:tcPr>
                <w:p w14:paraId="400F1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K</w:t>
                  </w:r>
                  <w:r>
                    <w:rPr>
                      <w:rFonts w:hint="eastAsia" w:cs="Times New Roman"/>
                      <w:color w:val="auto"/>
                      <w:sz w:val="21"/>
                      <w:szCs w:val="21"/>
                      <w:highlight w:val="none"/>
                      <w:vertAlign w:val="baseline"/>
                      <w:lang w:val="en-US" w:eastAsia="zh-CN"/>
                    </w:rPr>
                    <w:t>13+507</w:t>
                  </w:r>
                </w:p>
              </w:tc>
              <w:tc>
                <w:tcPr>
                  <w:tcW w:w="540" w:type="pct"/>
                  <w:tcBorders>
                    <w:tl2br w:val="nil"/>
                    <w:tr2bl w:val="nil"/>
                  </w:tcBorders>
                  <w:noWrap w:val="0"/>
                  <w:vAlign w:val="center"/>
                </w:tcPr>
                <w:p w14:paraId="5125B8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三合</w:t>
                  </w:r>
                  <w:r>
                    <w:rPr>
                      <w:rFonts w:hint="default" w:ascii="Times New Roman" w:hAnsi="Times New Roman" w:cs="Times New Roman"/>
                      <w:color w:val="auto"/>
                      <w:sz w:val="21"/>
                      <w:szCs w:val="21"/>
                      <w:highlight w:val="none"/>
                      <w:vertAlign w:val="baseline"/>
                      <w:lang w:val="en-US" w:eastAsia="zh-CN"/>
                    </w:rPr>
                    <w:t>桥</w:t>
                  </w:r>
                </w:p>
              </w:tc>
              <w:tc>
                <w:tcPr>
                  <w:tcW w:w="583" w:type="pct"/>
                  <w:tcBorders>
                    <w:tl2br w:val="nil"/>
                    <w:tr2bl w:val="nil"/>
                  </w:tcBorders>
                  <w:noWrap w:val="0"/>
                  <w:vAlign w:val="center"/>
                </w:tcPr>
                <w:p w14:paraId="7EBF1B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w:t>
                  </w:r>
                  <w:r>
                    <w:rPr>
                      <w:rFonts w:hint="eastAsia" w:cs="Times New Roman"/>
                      <w:color w:val="auto"/>
                      <w:sz w:val="21"/>
                      <w:szCs w:val="21"/>
                      <w:highlight w:val="none"/>
                      <w:vertAlign w:val="baseline"/>
                      <w:lang w:val="en-US" w:eastAsia="zh-CN"/>
                    </w:rPr>
                    <w:t>3</w:t>
                  </w:r>
                  <w:r>
                    <w:rPr>
                      <w:rFonts w:hint="default" w:ascii="Times New Roman" w:hAnsi="Times New Roman" w:cs="Times New Roman"/>
                      <w:color w:val="auto"/>
                      <w:sz w:val="21"/>
                      <w:szCs w:val="21"/>
                      <w:highlight w:val="none"/>
                      <w:vertAlign w:val="baseline"/>
                      <w:lang w:val="en-US" w:eastAsia="zh-CN"/>
                    </w:rPr>
                    <w:t>m</w:t>
                  </w:r>
                </w:p>
              </w:tc>
              <w:tc>
                <w:tcPr>
                  <w:tcW w:w="531" w:type="pct"/>
                  <w:tcBorders>
                    <w:tl2br w:val="nil"/>
                    <w:tr2bl w:val="nil"/>
                  </w:tcBorders>
                  <w:noWrap w:val="0"/>
                  <w:vAlign w:val="center"/>
                </w:tcPr>
                <w:p w14:paraId="7734C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17.54</w:t>
                  </w:r>
                </w:p>
              </w:tc>
              <w:tc>
                <w:tcPr>
                  <w:tcW w:w="531" w:type="pct"/>
                  <w:tcBorders>
                    <w:tl2br w:val="nil"/>
                    <w:tr2bl w:val="nil"/>
                  </w:tcBorders>
                  <w:noWrap w:val="0"/>
                  <w:vAlign w:val="center"/>
                </w:tcPr>
                <w:p w14:paraId="42CCC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7.5</w:t>
                  </w:r>
                </w:p>
              </w:tc>
              <w:tc>
                <w:tcPr>
                  <w:tcW w:w="413" w:type="pct"/>
                  <w:tcBorders>
                    <w:tl2br w:val="nil"/>
                    <w:tr2bl w:val="nil"/>
                  </w:tcBorders>
                  <w:noWrap w:val="0"/>
                  <w:vAlign w:val="center"/>
                </w:tcPr>
                <w:p w14:paraId="5B24FD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131.55</w:t>
                  </w:r>
                </w:p>
              </w:tc>
              <w:tc>
                <w:tcPr>
                  <w:tcW w:w="434" w:type="pct"/>
                  <w:tcBorders>
                    <w:tl2br w:val="nil"/>
                    <w:tr2bl w:val="nil"/>
                  </w:tcBorders>
                  <w:noWrap w:val="0"/>
                  <w:vAlign w:val="center"/>
                </w:tcPr>
                <w:p w14:paraId="541B24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混凝土简支空</w:t>
                  </w:r>
                </w:p>
                <w:p w14:paraId="2DF2B6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心板</w:t>
                  </w:r>
                </w:p>
              </w:tc>
              <w:tc>
                <w:tcPr>
                  <w:tcW w:w="366" w:type="pct"/>
                  <w:tcBorders>
                    <w:tl2br w:val="nil"/>
                    <w:tr2bl w:val="nil"/>
                  </w:tcBorders>
                  <w:noWrap w:val="0"/>
                  <w:vAlign w:val="center"/>
                </w:tcPr>
                <w:p w14:paraId="315068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柱式台</w:t>
                  </w:r>
                </w:p>
              </w:tc>
              <w:tc>
                <w:tcPr>
                  <w:tcW w:w="420" w:type="pct"/>
                  <w:tcBorders>
                    <w:tl2br w:val="nil"/>
                    <w:tr2bl w:val="nil"/>
                  </w:tcBorders>
                  <w:noWrap w:val="0"/>
                  <w:vAlign w:val="center"/>
                </w:tcPr>
                <w:p w14:paraId="3B3F3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钻孔桩</w:t>
                  </w:r>
                </w:p>
              </w:tc>
              <w:tc>
                <w:tcPr>
                  <w:tcW w:w="294" w:type="pct"/>
                  <w:tcBorders>
                    <w:tl2br w:val="nil"/>
                    <w:tr2bl w:val="nil"/>
                  </w:tcBorders>
                  <w:noWrap w:val="0"/>
                  <w:vAlign w:val="center"/>
                </w:tcPr>
                <w:p w14:paraId="06528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完全利用</w:t>
                  </w:r>
                </w:p>
              </w:tc>
            </w:tr>
          </w:tbl>
          <w:p w14:paraId="2427D31C">
            <w:pPr>
              <w:adjustRightInd w:val="0"/>
              <w:snapToGrid w:val="0"/>
              <w:spacing w:line="480" w:lineRule="exact"/>
              <w:ind w:firstLine="482"/>
              <w:rPr>
                <w:b/>
                <w:color w:val="auto"/>
                <w:highlight w:val="none"/>
              </w:rPr>
            </w:pPr>
            <w:r>
              <w:rPr>
                <w:b/>
                <w:color w:val="auto"/>
                <w:highlight w:val="none"/>
              </w:rPr>
              <w:t>6、交叉工程</w:t>
            </w:r>
          </w:p>
          <w:p w14:paraId="24CE64BF">
            <w:pPr>
              <w:adjustRightInd w:val="0"/>
              <w:snapToGrid w:val="0"/>
              <w:spacing w:line="480" w:lineRule="exact"/>
              <w:ind w:firstLine="482"/>
              <w:rPr>
                <w:rFonts w:hint="eastAsia" w:eastAsia="宋体"/>
                <w:color w:val="auto"/>
                <w:highlight w:val="none"/>
                <w:lang w:eastAsia="zh-CN"/>
              </w:rPr>
            </w:pPr>
            <w:r>
              <w:rPr>
                <w:rFonts w:hint="eastAsia"/>
                <w:color w:val="auto"/>
                <w:highlight w:val="none"/>
              </w:rPr>
              <w:t>全线平面交叉107处，其中与等级公路交叉13处，与等外公路交叉94处</w:t>
            </w:r>
            <w:r>
              <w:rPr>
                <w:rFonts w:hint="eastAsia"/>
                <w:color w:val="auto"/>
                <w:highlight w:val="none"/>
                <w:lang w:eastAsia="zh-CN"/>
              </w:rPr>
              <w:t>。</w:t>
            </w:r>
          </w:p>
          <w:p w14:paraId="12161BAC">
            <w:pPr>
              <w:adjustRightInd w:val="0"/>
              <w:snapToGrid w:val="0"/>
              <w:spacing w:line="480" w:lineRule="exact"/>
              <w:ind w:firstLine="482"/>
              <w:rPr>
                <w:b/>
                <w:color w:val="auto"/>
                <w:highlight w:val="none"/>
              </w:rPr>
            </w:pPr>
            <w:r>
              <w:rPr>
                <w:rFonts w:hint="eastAsia"/>
                <w:b/>
                <w:color w:val="auto"/>
                <w:highlight w:val="none"/>
              </w:rPr>
              <w:t>7、绿化工程</w:t>
            </w:r>
          </w:p>
          <w:p w14:paraId="27C37D57">
            <w:pPr>
              <w:adjustRightInd w:val="0"/>
              <w:snapToGrid w:val="0"/>
              <w:spacing w:line="480" w:lineRule="exact"/>
              <w:ind w:firstLine="480"/>
              <w:rPr>
                <w:color w:val="auto"/>
                <w:highlight w:val="none"/>
              </w:rPr>
            </w:pPr>
            <w:r>
              <w:rPr>
                <w:rFonts w:hint="eastAsia"/>
                <w:color w:val="auto"/>
                <w:highlight w:val="none"/>
              </w:rPr>
              <w:t>本项目设置边坡植草防护，绿化布置采用草坪为主，辅以花卉，常绿乔灌木等。</w:t>
            </w:r>
          </w:p>
          <w:p w14:paraId="26F10633">
            <w:pPr>
              <w:adjustRightInd w:val="0"/>
              <w:snapToGrid w:val="0"/>
              <w:spacing w:line="480" w:lineRule="exact"/>
              <w:ind w:firstLine="482"/>
              <w:rPr>
                <w:b/>
                <w:color w:val="auto"/>
                <w:highlight w:val="none"/>
              </w:rPr>
            </w:pPr>
            <w:r>
              <w:rPr>
                <w:rFonts w:hint="eastAsia"/>
                <w:b/>
                <w:color w:val="auto"/>
                <w:highlight w:val="none"/>
              </w:rPr>
              <w:t>8</w:t>
            </w:r>
            <w:r>
              <w:rPr>
                <w:b/>
                <w:color w:val="auto"/>
                <w:highlight w:val="none"/>
              </w:rPr>
              <w:t>、交通工程及沿线设施</w:t>
            </w:r>
          </w:p>
          <w:p w14:paraId="3984DBD7">
            <w:pPr>
              <w:adjustRightInd w:val="0"/>
              <w:snapToGrid w:val="0"/>
              <w:spacing w:line="480" w:lineRule="exact"/>
              <w:ind w:firstLine="480"/>
              <w:rPr>
                <w:color w:val="auto"/>
                <w:highlight w:val="none"/>
              </w:rPr>
            </w:pPr>
            <w:r>
              <w:rPr>
                <w:color w:val="auto"/>
                <w:highlight w:val="none"/>
              </w:rPr>
              <w:t>（1）安全设施</w:t>
            </w:r>
          </w:p>
          <w:p w14:paraId="1A298BF6">
            <w:pPr>
              <w:adjustRightInd w:val="0"/>
              <w:snapToGrid w:val="0"/>
              <w:spacing w:line="480" w:lineRule="exact"/>
              <w:ind w:firstLine="480"/>
              <w:rPr>
                <w:color w:val="auto"/>
                <w:highlight w:val="none"/>
              </w:rPr>
            </w:pPr>
            <w:r>
              <w:rPr>
                <w:color w:val="auto"/>
                <w:highlight w:val="none"/>
              </w:rPr>
              <w:t>本项目沿线设置警告标志及指路标志等交通标志及标线，其形状、尺寸和颜色均按国标GB5768—2009《道路交通标志和标线》中规定执行。</w:t>
            </w:r>
          </w:p>
          <w:p w14:paraId="4E5600A5">
            <w:pPr>
              <w:adjustRightInd w:val="0"/>
              <w:snapToGrid w:val="0"/>
              <w:spacing w:line="480" w:lineRule="exact"/>
              <w:ind w:firstLine="480"/>
              <w:rPr>
                <w:color w:val="auto"/>
                <w:highlight w:val="none"/>
              </w:rPr>
            </w:pPr>
            <w:r>
              <w:rPr>
                <w:color w:val="auto"/>
                <w:highlight w:val="none"/>
              </w:rPr>
              <w:t>（2）服务设施</w:t>
            </w:r>
          </w:p>
          <w:p w14:paraId="12E84661">
            <w:pPr>
              <w:adjustRightInd w:val="0"/>
              <w:snapToGrid w:val="0"/>
              <w:spacing w:line="480" w:lineRule="exact"/>
              <w:ind w:firstLine="480"/>
              <w:rPr>
                <w:color w:val="auto"/>
                <w:highlight w:val="none"/>
              </w:rPr>
            </w:pPr>
            <w:r>
              <w:rPr>
                <w:rFonts w:hint="eastAsia"/>
                <w:color w:val="auto"/>
                <w:highlight w:val="none"/>
                <w:lang w:val="en-US" w:eastAsia="zh-CN"/>
              </w:rPr>
              <w:t>管理养护工作由兰西县公路管理部门完成，本项目未设置管理、养护设施</w:t>
            </w:r>
            <w:r>
              <w:rPr>
                <w:rFonts w:hint="eastAsia"/>
                <w:color w:val="auto"/>
                <w:highlight w:val="none"/>
              </w:rPr>
              <w:t>。</w:t>
            </w:r>
          </w:p>
          <w:p w14:paraId="21C0219F">
            <w:pPr>
              <w:adjustRightInd w:val="0"/>
              <w:snapToGrid w:val="0"/>
              <w:spacing w:line="480" w:lineRule="exact"/>
              <w:ind w:firstLine="482"/>
              <w:rPr>
                <w:b/>
                <w:color w:val="auto"/>
                <w:highlight w:val="none"/>
              </w:rPr>
            </w:pPr>
            <w:r>
              <w:rPr>
                <w:b/>
                <w:color w:val="auto"/>
                <w:highlight w:val="none"/>
              </w:rPr>
              <w:t>9、工程占地及拆迁</w:t>
            </w:r>
          </w:p>
          <w:p w14:paraId="0C098F76">
            <w:pPr>
              <w:adjustRightInd w:val="0"/>
              <w:snapToGrid w:val="0"/>
              <w:spacing w:line="480" w:lineRule="exact"/>
              <w:ind w:firstLine="480"/>
              <w:rPr>
                <w:color w:val="auto"/>
                <w:highlight w:val="none"/>
              </w:rPr>
            </w:pPr>
            <w:r>
              <w:rPr>
                <w:color w:val="auto"/>
                <w:highlight w:val="none"/>
              </w:rPr>
              <w:t>（1）永久占地</w:t>
            </w:r>
          </w:p>
          <w:p w14:paraId="2E493583">
            <w:pPr>
              <w:adjustRightInd w:val="0"/>
              <w:snapToGrid w:val="0"/>
              <w:spacing w:line="480" w:lineRule="exact"/>
              <w:ind w:firstLine="480"/>
              <w:rPr>
                <w:color w:val="auto"/>
                <w:highlight w:val="none"/>
              </w:rPr>
            </w:pPr>
            <w:r>
              <w:rPr>
                <w:color w:val="auto"/>
                <w:highlight w:val="none"/>
              </w:rPr>
              <w:t>本工程永久总占地</w:t>
            </w:r>
            <w:r>
              <w:rPr>
                <w:rFonts w:hint="eastAsia"/>
                <w:color w:val="auto"/>
                <w:highlight w:val="none"/>
              </w:rPr>
              <w:t>230183</w:t>
            </w:r>
            <w:r>
              <w:rPr>
                <w:color w:val="auto"/>
                <w:highlight w:val="none"/>
              </w:rPr>
              <w:t>m</w:t>
            </w:r>
            <w:r>
              <w:rPr>
                <w:color w:val="auto"/>
                <w:highlight w:val="none"/>
                <w:vertAlign w:val="superscript"/>
              </w:rPr>
              <w:t>2</w:t>
            </w:r>
            <w:r>
              <w:rPr>
                <w:color w:val="auto"/>
                <w:highlight w:val="none"/>
              </w:rPr>
              <w:t>，</w:t>
            </w:r>
            <w:r>
              <w:rPr>
                <w:rFonts w:hint="eastAsia"/>
                <w:color w:val="auto"/>
                <w:highlight w:val="none"/>
                <w:lang w:val="en-US" w:eastAsia="zh-CN"/>
              </w:rPr>
              <w:t>全部为</w:t>
            </w:r>
            <w:r>
              <w:rPr>
                <w:color w:val="auto"/>
                <w:highlight w:val="none"/>
              </w:rPr>
              <w:t>利用旧路</w:t>
            </w:r>
            <w:r>
              <w:rPr>
                <w:rFonts w:hint="eastAsia"/>
                <w:color w:val="auto"/>
                <w:highlight w:val="none"/>
              </w:rPr>
              <w:t>。</w:t>
            </w:r>
          </w:p>
          <w:p w14:paraId="28A1C9E5">
            <w:pPr>
              <w:pStyle w:val="27"/>
              <w:adjustRightInd w:val="0"/>
              <w:snapToGrid w:val="0"/>
              <w:spacing w:line="480" w:lineRule="exact"/>
              <w:rPr>
                <w:rFonts w:hint="default" w:eastAsia="宋体"/>
                <w:b/>
                <w:color w:val="auto"/>
                <w:sz w:val="24"/>
                <w:highlight w:val="none"/>
              </w:rPr>
            </w:pPr>
            <w:r>
              <w:rPr>
                <w:rFonts w:hint="default" w:eastAsia="宋体"/>
                <w:b/>
                <w:color w:val="auto"/>
                <w:sz w:val="24"/>
                <w:highlight w:val="none"/>
              </w:rPr>
              <w:t>表2-</w:t>
            </w:r>
            <w:r>
              <w:rPr>
                <w:rFonts w:hint="eastAsia" w:eastAsia="宋体"/>
                <w:b/>
                <w:color w:val="auto"/>
                <w:sz w:val="24"/>
                <w:highlight w:val="none"/>
                <w:lang w:val="en-US" w:eastAsia="zh-CN"/>
              </w:rPr>
              <w:t>8</w:t>
            </w:r>
            <w:r>
              <w:rPr>
                <w:rFonts w:hint="default" w:eastAsia="宋体"/>
                <w:b/>
                <w:color w:val="auto"/>
                <w:sz w:val="24"/>
                <w:highlight w:val="none"/>
              </w:rPr>
              <w:t xml:space="preserve"> 本项目永久占地情况（单位：m</w:t>
            </w:r>
            <w:r>
              <w:rPr>
                <w:rFonts w:hint="default" w:eastAsia="宋体"/>
                <w:b/>
                <w:color w:val="auto"/>
                <w:sz w:val="24"/>
                <w:highlight w:val="none"/>
                <w:vertAlign w:val="superscript"/>
              </w:rPr>
              <w:t>2</w:t>
            </w:r>
            <w:r>
              <w:rPr>
                <w:rFonts w:hint="default" w:eastAsia="宋体"/>
                <w:b/>
                <w:color w:val="auto"/>
                <w:sz w:val="24"/>
                <w:highlight w:val="none"/>
              </w:rPr>
              <w:t>）</w:t>
            </w:r>
          </w:p>
          <w:tbl>
            <w:tblPr>
              <w:tblStyle w:val="1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074"/>
              <w:gridCol w:w="3168"/>
              <w:gridCol w:w="3146"/>
            </w:tblGrid>
            <w:tr w14:paraId="276CD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6" w:type="pct"/>
                  <w:vMerge w:val="restart"/>
                  <w:vAlign w:val="center"/>
                </w:tcPr>
                <w:p w14:paraId="4849A49B">
                  <w:pPr>
                    <w:pStyle w:val="28"/>
                    <w:rPr>
                      <w:rFonts w:hint="default"/>
                      <w:color w:val="auto"/>
                      <w:highlight w:val="none"/>
                    </w:rPr>
                  </w:pPr>
                  <w:r>
                    <w:rPr>
                      <w:color w:val="auto"/>
                      <w:highlight w:val="none"/>
                    </w:rPr>
                    <w:t>类型</w:t>
                  </w:r>
                </w:p>
              </w:tc>
              <w:tc>
                <w:tcPr>
                  <w:tcW w:w="1888" w:type="pct"/>
                  <w:vAlign w:val="center"/>
                </w:tcPr>
                <w:p w14:paraId="414EB74A">
                  <w:pPr>
                    <w:pStyle w:val="28"/>
                    <w:rPr>
                      <w:color w:val="auto"/>
                      <w:highlight w:val="none"/>
                    </w:rPr>
                  </w:pPr>
                  <w:r>
                    <w:rPr>
                      <w:color w:val="auto"/>
                      <w:highlight w:val="none"/>
                    </w:rPr>
                    <w:t>建设用地</w:t>
                  </w:r>
                </w:p>
              </w:tc>
              <w:tc>
                <w:tcPr>
                  <w:tcW w:w="1875" w:type="pct"/>
                  <w:vMerge w:val="restart"/>
                  <w:vAlign w:val="center"/>
                </w:tcPr>
                <w:p w14:paraId="769C238B">
                  <w:pPr>
                    <w:pStyle w:val="28"/>
                    <w:rPr>
                      <w:rFonts w:hint="default"/>
                      <w:color w:val="auto"/>
                      <w:highlight w:val="none"/>
                    </w:rPr>
                  </w:pPr>
                  <w:r>
                    <w:rPr>
                      <w:color w:val="auto"/>
                      <w:highlight w:val="none"/>
                    </w:rPr>
                    <w:t>合计</w:t>
                  </w:r>
                </w:p>
              </w:tc>
            </w:tr>
            <w:tr w14:paraId="578B5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6" w:type="pct"/>
                  <w:vMerge w:val="continue"/>
                  <w:vAlign w:val="center"/>
                </w:tcPr>
                <w:p w14:paraId="58C77D72">
                  <w:pPr>
                    <w:pStyle w:val="28"/>
                    <w:rPr>
                      <w:rFonts w:hint="default"/>
                      <w:color w:val="auto"/>
                      <w:highlight w:val="none"/>
                    </w:rPr>
                  </w:pPr>
                </w:p>
              </w:tc>
              <w:tc>
                <w:tcPr>
                  <w:tcW w:w="1888" w:type="pct"/>
                  <w:vAlign w:val="center"/>
                </w:tcPr>
                <w:p w14:paraId="06801089">
                  <w:pPr>
                    <w:pStyle w:val="28"/>
                    <w:rPr>
                      <w:rFonts w:hint="default"/>
                      <w:color w:val="auto"/>
                      <w:highlight w:val="none"/>
                    </w:rPr>
                  </w:pPr>
                  <w:r>
                    <w:rPr>
                      <w:color w:val="auto"/>
                      <w:highlight w:val="none"/>
                    </w:rPr>
                    <w:t>公路用地</w:t>
                  </w:r>
                </w:p>
              </w:tc>
              <w:tc>
                <w:tcPr>
                  <w:tcW w:w="1875" w:type="pct"/>
                  <w:vMerge w:val="continue"/>
                  <w:vAlign w:val="center"/>
                </w:tcPr>
                <w:p w14:paraId="35D53ACB">
                  <w:pPr>
                    <w:pStyle w:val="28"/>
                    <w:rPr>
                      <w:rFonts w:hint="default"/>
                      <w:color w:val="auto"/>
                      <w:highlight w:val="none"/>
                    </w:rPr>
                  </w:pPr>
                </w:p>
              </w:tc>
            </w:tr>
            <w:tr w14:paraId="4A764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36" w:type="pct"/>
                  <w:vAlign w:val="center"/>
                </w:tcPr>
                <w:p w14:paraId="5C1AAF96">
                  <w:pPr>
                    <w:pStyle w:val="28"/>
                    <w:rPr>
                      <w:rFonts w:hint="default"/>
                      <w:color w:val="auto"/>
                      <w:highlight w:val="none"/>
                    </w:rPr>
                  </w:pPr>
                  <w:r>
                    <w:rPr>
                      <w:color w:val="auto"/>
                      <w:highlight w:val="none"/>
                    </w:rPr>
                    <w:t>面积</w:t>
                  </w:r>
                </w:p>
              </w:tc>
              <w:tc>
                <w:tcPr>
                  <w:tcW w:w="1888" w:type="pct"/>
                  <w:vAlign w:val="center"/>
                </w:tcPr>
                <w:p w14:paraId="013602C6">
                  <w:pPr>
                    <w:pStyle w:val="28"/>
                    <w:rPr>
                      <w:rFonts w:hint="default"/>
                      <w:color w:val="auto"/>
                      <w:highlight w:val="none"/>
                    </w:rPr>
                  </w:pPr>
                  <w:r>
                    <w:rPr>
                      <w:rFonts w:hint="default"/>
                      <w:color w:val="auto"/>
                      <w:highlight w:val="none"/>
                    </w:rPr>
                    <w:t>230183</w:t>
                  </w:r>
                </w:p>
              </w:tc>
              <w:tc>
                <w:tcPr>
                  <w:tcW w:w="1875" w:type="pct"/>
                  <w:vAlign w:val="center"/>
                </w:tcPr>
                <w:p w14:paraId="12FD67A5">
                  <w:pPr>
                    <w:pStyle w:val="28"/>
                    <w:rPr>
                      <w:rFonts w:hint="default"/>
                      <w:color w:val="auto"/>
                      <w:highlight w:val="none"/>
                    </w:rPr>
                  </w:pPr>
                  <w:r>
                    <w:rPr>
                      <w:rFonts w:hint="default"/>
                      <w:color w:val="auto"/>
                      <w:highlight w:val="none"/>
                    </w:rPr>
                    <w:t>230183</w:t>
                  </w:r>
                </w:p>
              </w:tc>
            </w:tr>
          </w:tbl>
          <w:p w14:paraId="2C02625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（2）临时占地</w:t>
            </w:r>
          </w:p>
          <w:p w14:paraId="2D10C0E3">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未新增</w:t>
            </w:r>
            <w:r>
              <w:rPr>
                <w:rFonts w:hint="eastAsia" w:eastAsia="宋体" w:cs="Times New Roman"/>
                <w:color w:val="auto"/>
                <w:sz w:val="24"/>
                <w:szCs w:val="24"/>
                <w:highlight w:val="none"/>
                <w:lang w:val="en-US" w:eastAsia="zh-CN"/>
              </w:rPr>
              <w:t>临时占地。施工人员生活及住宿租用当地民房，不设置施工营地；</w:t>
            </w:r>
            <w:r>
              <w:rPr>
                <w:rFonts w:hint="eastAsia" w:cs="Times New Roman"/>
                <w:color w:val="auto"/>
                <w:sz w:val="24"/>
                <w:szCs w:val="24"/>
                <w:highlight w:val="none"/>
                <w:lang w:val="en-US" w:eastAsia="zh-CN"/>
              </w:rPr>
              <w:t>不设置设备存放场；</w:t>
            </w:r>
            <w:r>
              <w:rPr>
                <w:rFonts w:hint="eastAsia" w:eastAsia="宋体" w:cs="Times New Roman"/>
                <w:color w:val="auto"/>
                <w:sz w:val="24"/>
                <w:szCs w:val="24"/>
                <w:highlight w:val="none"/>
                <w:lang w:val="en-US" w:eastAsia="zh-CN"/>
              </w:rPr>
              <w:t>本项目水泥混凝土全部外购商品砼，不设拌合站；</w:t>
            </w:r>
            <w:r>
              <w:rPr>
                <w:rFonts w:hint="eastAsia" w:eastAsia="宋体" w:cs="Times New Roman"/>
                <w:color w:val="auto"/>
                <w:sz w:val="24"/>
                <w:szCs w:val="24"/>
                <w:highlight w:val="yellow"/>
                <w:lang w:val="en-US" w:eastAsia="zh-CN"/>
              </w:rPr>
              <w:t>不设置集中取、弃土场，项目用土外购</w:t>
            </w:r>
            <w:r>
              <w:rPr>
                <w:rFonts w:hint="eastAsia" w:cs="Times New Roman"/>
                <w:color w:val="auto"/>
                <w:sz w:val="24"/>
                <w:szCs w:val="24"/>
                <w:highlight w:val="yellow"/>
                <w:lang w:val="en-US" w:eastAsia="zh-CN"/>
              </w:rPr>
              <w:t>；</w:t>
            </w:r>
            <w:r>
              <w:rPr>
                <w:rFonts w:hint="eastAsia" w:ascii="Times New Roman" w:hAnsi="Times New Roman" w:eastAsia="宋体" w:cs="Times New Roman"/>
                <w:color w:val="auto"/>
                <w:kern w:val="21"/>
                <w:sz w:val="24"/>
                <w:szCs w:val="24"/>
                <w:highlight w:val="yellow"/>
                <w:lang w:eastAsia="zh-CN"/>
              </w:rPr>
              <w:t>表土临时堆放于</w:t>
            </w:r>
            <w:r>
              <w:rPr>
                <w:rFonts w:hint="eastAsia" w:cs="Times New Roman"/>
                <w:color w:val="auto"/>
                <w:kern w:val="21"/>
                <w:sz w:val="24"/>
                <w:szCs w:val="24"/>
                <w:highlight w:val="yellow"/>
                <w:lang w:val="en-US" w:eastAsia="zh-CN"/>
              </w:rPr>
              <w:t>K8+400、K11+800两处占地面积各为1000平方米，属于永久占地范围内</w:t>
            </w:r>
            <w:r>
              <w:rPr>
                <w:rFonts w:hint="eastAsia" w:ascii="Times New Roman" w:hAnsi="Times New Roman" w:eastAsia="宋体" w:cs="Times New Roman"/>
                <w:color w:val="auto"/>
                <w:kern w:val="21"/>
                <w:sz w:val="24"/>
                <w:szCs w:val="24"/>
                <w:highlight w:val="yellow"/>
                <w:lang w:eastAsia="zh-CN"/>
              </w:rPr>
              <w:t>，</w:t>
            </w:r>
            <w:r>
              <w:rPr>
                <w:rFonts w:hint="eastAsia" w:cs="Times New Roman"/>
                <w:color w:val="auto"/>
                <w:kern w:val="21"/>
                <w:sz w:val="24"/>
                <w:szCs w:val="24"/>
                <w:highlight w:val="yellow"/>
                <w:lang w:val="en-US" w:eastAsia="zh-CN"/>
              </w:rPr>
              <w:t>在满足保通要求的前提下，尽量减少工期；本项目利用原有小桥，不涉及桥梁预制场，</w:t>
            </w:r>
            <w:r>
              <w:rPr>
                <w:rFonts w:hint="eastAsia" w:eastAsia="宋体" w:cs="Times New Roman"/>
                <w:color w:val="auto"/>
                <w:sz w:val="24"/>
                <w:szCs w:val="24"/>
                <w:highlight w:val="yellow"/>
                <w:lang w:val="en-US" w:eastAsia="zh-CN"/>
              </w:rPr>
              <w:t>项目施工可依托原有旧路，不设置施工便道</w:t>
            </w:r>
            <w:r>
              <w:rPr>
                <w:rFonts w:hint="eastAsia" w:cs="Times New Roman"/>
                <w:color w:val="auto"/>
                <w:sz w:val="24"/>
                <w:szCs w:val="24"/>
                <w:highlight w:val="yellow"/>
                <w:lang w:val="en-US" w:eastAsia="zh-CN"/>
              </w:rPr>
              <w:t>。</w:t>
            </w:r>
            <w:r>
              <w:rPr>
                <w:rFonts w:hint="eastAsia" w:eastAsia="宋体" w:cs="Times New Roman"/>
                <w:color w:val="auto"/>
                <w:sz w:val="24"/>
                <w:szCs w:val="24"/>
                <w:highlight w:val="none"/>
                <w:lang w:val="en-US" w:eastAsia="zh-CN"/>
              </w:rPr>
              <w:t>因此本项目</w:t>
            </w:r>
            <w:r>
              <w:rPr>
                <w:rFonts w:hint="eastAsia" w:cs="Times New Roman"/>
                <w:color w:val="auto"/>
                <w:sz w:val="24"/>
                <w:szCs w:val="24"/>
                <w:highlight w:val="none"/>
                <w:lang w:val="en-US" w:eastAsia="zh-CN"/>
              </w:rPr>
              <w:t>未新增</w:t>
            </w:r>
            <w:r>
              <w:rPr>
                <w:rFonts w:hint="eastAsia" w:eastAsia="宋体" w:cs="Times New Roman"/>
                <w:color w:val="auto"/>
                <w:sz w:val="24"/>
                <w:szCs w:val="24"/>
                <w:highlight w:val="none"/>
                <w:lang w:val="en-US" w:eastAsia="zh-CN"/>
              </w:rPr>
              <w:t>临时占地。</w:t>
            </w:r>
          </w:p>
          <w:p w14:paraId="53C1D7E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（3）拆迁工程</w:t>
            </w:r>
          </w:p>
          <w:p w14:paraId="6CED5AC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本项目拆迁单柱式标志牌77块，监控6根</w:t>
            </w:r>
            <w:r>
              <w:rPr>
                <w:rFonts w:hint="eastAsia"/>
                <w:color w:val="auto"/>
                <w:highlight w:val="none"/>
                <w:lang w:eastAsia="zh-CN"/>
              </w:rPr>
              <w:t>；</w:t>
            </w:r>
            <w:r>
              <w:rPr>
                <w:rFonts w:hint="eastAsia"/>
                <w:color w:val="auto"/>
                <w:highlight w:val="none"/>
              </w:rPr>
              <w:t>拆迁架高电力线电杆615根</w:t>
            </w:r>
            <w:r>
              <w:rPr>
                <w:rFonts w:hint="eastAsia"/>
                <w:color w:val="auto"/>
                <w:highlight w:val="none"/>
                <w:lang w:eastAsia="zh-CN"/>
              </w:rPr>
              <w:t>、</w:t>
            </w:r>
            <w:r>
              <w:rPr>
                <w:rFonts w:hint="eastAsia"/>
                <w:color w:val="auto"/>
                <w:highlight w:val="none"/>
              </w:rPr>
              <w:t>架高电讯线线杆21根</w:t>
            </w:r>
            <w:r>
              <w:rPr>
                <w:rFonts w:hint="eastAsia"/>
                <w:color w:val="auto"/>
                <w:highlight w:val="none"/>
                <w:lang w:eastAsia="zh-CN"/>
              </w:rPr>
              <w:t>、</w:t>
            </w:r>
            <w:r>
              <w:rPr>
                <w:rFonts w:hint="eastAsia"/>
                <w:color w:val="auto"/>
                <w:highlight w:val="none"/>
              </w:rPr>
              <w:t>地下通讯光缆680m</w:t>
            </w:r>
            <w:r>
              <w:rPr>
                <w:rFonts w:hint="eastAsia"/>
                <w:color w:val="auto"/>
                <w:highlight w:val="none"/>
                <w:lang w:eastAsia="zh-CN"/>
              </w:rPr>
              <w:t>；</w:t>
            </w:r>
            <w:r>
              <w:rPr>
                <w:rFonts w:hint="eastAsia"/>
                <w:color w:val="auto"/>
                <w:highlight w:val="none"/>
              </w:rPr>
              <w:t>赔偿树木</w:t>
            </w:r>
            <w:r>
              <w:rPr>
                <w:rFonts w:hint="eastAsia"/>
                <w:color w:val="auto"/>
                <w:highlight w:val="none"/>
                <w:lang w:val="en-US" w:eastAsia="zh-CN"/>
              </w:rPr>
              <w:t>10136</w:t>
            </w:r>
            <w:r>
              <w:rPr>
                <w:rFonts w:hint="eastAsia"/>
                <w:color w:val="auto"/>
                <w:highlight w:val="none"/>
              </w:rPr>
              <w:t>棵。</w:t>
            </w:r>
          </w:p>
          <w:p w14:paraId="35D829C7">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b/>
                <w:color w:val="auto"/>
                <w:highlight w:val="none"/>
              </w:rPr>
              <w:t>10、</w:t>
            </w:r>
            <w:r>
              <w:rPr>
                <w:rFonts w:hint="eastAsia"/>
                <w:b/>
                <w:color w:val="auto"/>
                <w:highlight w:val="none"/>
              </w:rPr>
              <w:t>土石方平衡</w:t>
            </w:r>
          </w:p>
          <w:p w14:paraId="78AD6790">
            <w:pPr>
              <w:ind w:firstLine="480"/>
              <w:rPr>
                <w:rFonts w:hint="default" w:ascii="Times New Roman" w:hAnsi="Times New Roman" w:eastAsia="宋体" w:cs="Times New Roman"/>
                <w:color w:val="auto"/>
                <w:sz w:val="24"/>
                <w:szCs w:val="24"/>
                <w:highlight w:val="yellow"/>
              </w:rPr>
            </w:pPr>
            <w:r>
              <w:rPr>
                <w:rFonts w:hint="eastAsia" w:ascii="Times New Roman" w:hAnsi="Times New Roman" w:eastAsia="宋体" w:cs="Times New Roman"/>
                <w:color w:val="auto"/>
                <w:sz w:val="24"/>
                <w:szCs w:val="24"/>
                <w:highlight w:val="yellow"/>
                <w:lang w:val="en-US" w:eastAsia="zh-CN"/>
              </w:rPr>
              <w:t>本项目</w:t>
            </w:r>
            <w:r>
              <w:rPr>
                <w:rFonts w:hint="default" w:ascii="Times New Roman" w:hAnsi="Times New Roman" w:eastAsia="宋体" w:cs="Times New Roman"/>
                <w:color w:val="auto"/>
                <w:sz w:val="24"/>
                <w:szCs w:val="24"/>
                <w:highlight w:val="yellow"/>
              </w:rPr>
              <w:t>总填方</w:t>
            </w:r>
            <w:r>
              <w:rPr>
                <w:rFonts w:hint="eastAsia" w:cs="Times New Roman"/>
                <w:color w:val="auto"/>
                <w:sz w:val="24"/>
                <w:szCs w:val="24"/>
                <w:highlight w:val="yellow"/>
                <w:lang w:val="en-US" w:eastAsia="zh-CN"/>
              </w:rPr>
              <w:t>13.07万</w:t>
            </w:r>
            <w:r>
              <w:rPr>
                <w:rFonts w:hint="default" w:ascii="Times New Roman" w:hAnsi="Times New Roman" w:eastAsia="宋体" w:cs="Times New Roman"/>
                <w:color w:val="auto"/>
                <w:sz w:val="24"/>
                <w:szCs w:val="24"/>
                <w:highlight w:val="yellow"/>
              </w:rPr>
              <w:t>m</w:t>
            </w:r>
            <w:r>
              <w:rPr>
                <w:rFonts w:hint="default" w:ascii="Times New Roman" w:hAnsi="Times New Roman" w:eastAsia="宋体" w:cs="Times New Roman"/>
                <w:color w:val="auto"/>
                <w:sz w:val="24"/>
                <w:szCs w:val="24"/>
                <w:highlight w:val="yellow"/>
                <w:vertAlign w:val="superscript"/>
              </w:rPr>
              <w:t>3</w:t>
            </w:r>
            <w:r>
              <w:rPr>
                <w:rFonts w:hint="default" w:ascii="Times New Roman" w:hAnsi="Times New Roman" w:eastAsia="宋体" w:cs="Times New Roman"/>
                <w:color w:val="auto"/>
                <w:sz w:val="24"/>
                <w:szCs w:val="24"/>
                <w:highlight w:val="yellow"/>
              </w:rPr>
              <w:t>、总挖方</w:t>
            </w:r>
            <w:r>
              <w:rPr>
                <w:rFonts w:hint="eastAsia" w:cs="Times New Roman"/>
                <w:color w:val="auto"/>
                <w:sz w:val="24"/>
                <w:szCs w:val="24"/>
                <w:highlight w:val="yellow"/>
                <w:lang w:val="en-US" w:eastAsia="zh-CN"/>
              </w:rPr>
              <w:t>10.27万</w:t>
            </w:r>
            <w:r>
              <w:rPr>
                <w:rFonts w:hint="default" w:ascii="Times New Roman" w:hAnsi="Times New Roman" w:eastAsia="宋体" w:cs="Times New Roman"/>
                <w:color w:val="auto"/>
                <w:sz w:val="24"/>
                <w:szCs w:val="24"/>
                <w:highlight w:val="yellow"/>
              </w:rPr>
              <w:t>m</w:t>
            </w:r>
            <w:r>
              <w:rPr>
                <w:rFonts w:hint="default" w:ascii="Times New Roman" w:hAnsi="Times New Roman" w:eastAsia="宋体" w:cs="Times New Roman"/>
                <w:color w:val="auto"/>
                <w:sz w:val="24"/>
                <w:szCs w:val="24"/>
                <w:highlight w:val="yellow"/>
                <w:vertAlign w:val="superscript"/>
              </w:rPr>
              <w:t>3</w:t>
            </w:r>
            <w:r>
              <w:rPr>
                <w:rFonts w:hint="default" w:ascii="Times New Roman" w:hAnsi="Times New Roman" w:eastAsia="宋体" w:cs="Times New Roman"/>
                <w:color w:val="auto"/>
                <w:sz w:val="24"/>
                <w:szCs w:val="24"/>
                <w:highlight w:val="yellow"/>
              </w:rPr>
              <w:t>、总借方</w:t>
            </w:r>
            <w:r>
              <w:rPr>
                <w:rFonts w:hint="eastAsia" w:cs="Times New Roman"/>
                <w:color w:val="auto"/>
                <w:sz w:val="24"/>
                <w:szCs w:val="24"/>
                <w:highlight w:val="yellow"/>
                <w:lang w:val="en-US" w:eastAsia="zh-CN"/>
              </w:rPr>
              <w:t>2.80万</w:t>
            </w:r>
            <w:r>
              <w:rPr>
                <w:rFonts w:hint="default" w:ascii="Times New Roman" w:hAnsi="Times New Roman" w:eastAsia="宋体" w:cs="Times New Roman"/>
                <w:color w:val="auto"/>
                <w:sz w:val="24"/>
                <w:szCs w:val="24"/>
                <w:highlight w:val="yellow"/>
              </w:rPr>
              <w:t>m</w:t>
            </w:r>
            <w:r>
              <w:rPr>
                <w:rFonts w:hint="default" w:ascii="Times New Roman" w:hAnsi="Times New Roman" w:eastAsia="宋体" w:cs="Times New Roman"/>
                <w:color w:val="auto"/>
                <w:sz w:val="24"/>
                <w:szCs w:val="24"/>
                <w:highlight w:val="yellow"/>
                <w:vertAlign w:val="superscript"/>
              </w:rPr>
              <w:t>3</w:t>
            </w:r>
            <w:r>
              <w:rPr>
                <w:rFonts w:hint="default" w:ascii="Times New Roman" w:hAnsi="Times New Roman" w:eastAsia="宋体" w:cs="Times New Roman"/>
                <w:color w:val="auto"/>
                <w:sz w:val="24"/>
                <w:szCs w:val="24"/>
                <w:highlight w:val="yellow"/>
                <w:lang w:eastAsia="zh-CN"/>
              </w:rPr>
              <w:t>、总利用方</w:t>
            </w:r>
            <w:r>
              <w:rPr>
                <w:rFonts w:hint="eastAsia" w:cs="Times New Roman"/>
                <w:color w:val="auto"/>
                <w:sz w:val="24"/>
                <w:szCs w:val="24"/>
                <w:highlight w:val="yellow"/>
                <w:lang w:val="en-US" w:eastAsia="zh-CN"/>
              </w:rPr>
              <w:t>10.27万</w:t>
            </w:r>
            <w:r>
              <w:rPr>
                <w:rFonts w:hint="default" w:ascii="Times New Roman" w:hAnsi="Times New Roman" w:eastAsia="宋体" w:cs="Times New Roman"/>
                <w:color w:val="auto"/>
                <w:sz w:val="24"/>
                <w:szCs w:val="24"/>
                <w:highlight w:val="yellow"/>
                <w:lang w:val="en-US" w:eastAsia="zh-CN"/>
              </w:rPr>
              <w:t>m</w:t>
            </w:r>
            <w:r>
              <w:rPr>
                <w:rFonts w:hint="default" w:ascii="Times New Roman" w:hAnsi="Times New Roman" w:eastAsia="宋体" w:cs="Times New Roman"/>
                <w:color w:val="auto"/>
                <w:sz w:val="24"/>
                <w:szCs w:val="24"/>
                <w:highlight w:val="yellow"/>
                <w:vertAlign w:val="superscript"/>
                <w:lang w:val="en-US" w:eastAsia="zh-CN"/>
              </w:rPr>
              <w:t>3</w:t>
            </w:r>
            <w:r>
              <w:rPr>
                <w:rFonts w:hint="default" w:ascii="Times New Roman" w:hAnsi="Times New Roman" w:eastAsia="宋体" w:cs="Times New Roman"/>
                <w:color w:val="auto"/>
                <w:sz w:val="24"/>
                <w:szCs w:val="24"/>
                <w:highlight w:val="yellow"/>
                <w:lang w:eastAsia="zh-CN"/>
              </w:rPr>
              <w:t>、</w:t>
            </w:r>
            <w:r>
              <w:rPr>
                <w:rFonts w:hint="default" w:ascii="Times New Roman" w:hAnsi="Times New Roman" w:eastAsia="宋体" w:cs="Times New Roman"/>
                <w:color w:val="auto"/>
                <w:sz w:val="24"/>
                <w:szCs w:val="24"/>
                <w:highlight w:val="yellow"/>
                <w:vertAlign w:val="baseline"/>
                <w:lang w:eastAsia="zh-CN"/>
              </w:rPr>
              <w:t>总弃方</w:t>
            </w:r>
            <w:r>
              <w:rPr>
                <w:rFonts w:hint="eastAsia" w:cs="Times New Roman"/>
                <w:color w:val="auto"/>
                <w:sz w:val="24"/>
                <w:szCs w:val="24"/>
                <w:highlight w:val="yellow"/>
                <w:vertAlign w:val="baseline"/>
                <w:lang w:val="en-US" w:eastAsia="zh-CN"/>
              </w:rPr>
              <w:t>0</w:t>
            </w:r>
            <w:r>
              <w:rPr>
                <w:rFonts w:hint="default" w:ascii="Times New Roman" w:hAnsi="Times New Roman" w:eastAsia="宋体" w:cs="Times New Roman"/>
                <w:color w:val="auto"/>
                <w:sz w:val="24"/>
                <w:szCs w:val="24"/>
                <w:highlight w:val="yellow"/>
                <w:lang w:val="en-US" w:eastAsia="zh-CN"/>
              </w:rPr>
              <w:t>m</w:t>
            </w:r>
            <w:r>
              <w:rPr>
                <w:rFonts w:hint="default" w:ascii="Times New Roman" w:hAnsi="Times New Roman" w:eastAsia="宋体" w:cs="Times New Roman"/>
                <w:color w:val="auto"/>
                <w:sz w:val="24"/>
                <w:szCs w:val="24"/>
                <w:highlight w:val="yellow"/>
                <w:vertAlign w:val="superscript"/>
                <w:lang w:val="en-US" w:eastAsia="zh-CN"/>
              </w:rPr>
              <w:t>3</w:t>
            </w:r>
            <w:r>
              <w:rPr>
                <w:rFonts w:hint="eastAsia" w:ascii="Times New Roman" w:hAnsi="Times New Roman" w:eastAsia="宋体" w:cs="Times New Roman"/>
                <w:color w:val="auto"/>
                <w:sz w:val="24"/>
                <w:szCs w:val="24"/>
                <w:highlight w:val="yellow"/>
                <w:lang w:val="en-US" w:eastAsia="zh-CN"/>
              </w:rPr>
              <w:t>。</w:t>
            </w:r>
            <w:r>
              <w:rPr>
                <w:rFonts w:hint="eastAsia" w:cs="Times New Roman"/>
                <w:color w:val="auto"/>
                <w:sz w:val="24"/>
                <w:szCs w:val="24"/>
                <w:highlight w:val="yellow"/>
                <w:lang w:val="en-US" w:eastAsia="zh-CN"/>
              </w:rPr>
              <w:t>在帮宽路段进行剥离表土，表土剥离量为0.30万</w:t>
            </w:r>
            <w:r>
              <w:rPr>
                <w:rFonts w:hint="default" w:ascii="Times New Roman" w:hAnsi="Times New Roman" w:eastAsia="宋体" w:cs="Times New Roman"/>
                <w:color w:val="auto"/>
                <w:sz w:val="24"/>
                <w:szCs w:val="24"/>
                <w:highlight w:val="yellow"/>
              </w:rPr>
              <w:t>m</w:t>
            </w:r>
            <w:r>
              <w:rPr>
                <w:rFonts w:hint="default" w:ascii="Times New Roman" w:hAnsi="Times New Roman" w:eastAsia="宋体" w:cs="Times New Roman"/>
                <w:color w:val="auto"/>
                <w:sz w:val="24"/>
                <w:szCs w:val="24"/>
                <w:highlight w:val="yellow"/>
                <w:vertAlign w:val="superscript"/>
              </w:rPr>
              <w:t>3</w:t>
            </w:r>
            <w:r>
              <w:rPr>
                <w:rFonts w:hint="eastAsia" w:ascii="Times New Roman" w:hAnsi="Times New Roman" w:eastAsia="宋体" w:cs="Times New Roman"/>
                <w:color w:val="auto"/>
                <w:sz w:val="24"/>
                <w:szCs w:val="24"/>
                <w:highlight w:val="yellow"/>
                <w:vertAlign w:val="baseline"/>
                <w:lang w:eastAsia="zh-CN"/>
              </w:rPr>
              <w:t>，</w:t>
            </w:r>
            <w:r>
              <w:rPr>
                <w:rFonts w:hint="eastAsia" w:ascii="Times New Roman" w:hAnsi="Times New Roman" w:eastAsia="宋体" w:cs="Times New Roman"/>
                <w:color w:val="auto"/>
                <w:kern w:val="21"/>
                <w:sz w:val="24"/>
                <w:szCs w:val="24"/>
                <w:highlight w:val="yellow"/>
                <w:lang w:eastAsia="zh-CN"/>
              </w:rPr>
              <w:t>表土临时堆放于</w:t>
            </w:r>
            <w:r>
              <w:rPr>
                <w:rFonts w:hint="eastAsia" w:cs="Times New Roman"/>
                <w:color w:val="auto"/>
                <w:kern w:val="21"/>
                <w:sz w:val="24"/>
                <w:szCs w:val="24"/>
                <w:highlight w:val="yellow"/>
                <w:lang w:val="en-US" w:eastAsia="zh-CN"/>
              </w:rPr>
              <w:t>K8+400、K11+800两处占地面积各为1000平方米，属于永久占地范围内</w:t>
            </w:r>
            <w:r>
              <w:rPr>
                <w:rFonts w:hint="eastAsia" w:ascii="Times New Roman" w:hAnsi="Times New Roman" w:eastAsia="宋体" w:cs="Times New Roman"/>
                <w:color w:val="auto"/>
                <w:kern w:val="21"/>
                <w:sz w:val="24"/>
                <w:szCs w:val="24"/>
                <w:highlight w:val="yellow"/>
                <w:lang w:eastAsia="zh-CN"/>
              </w:rPr>
              <w:t>，表土储存区四周采用编织袋装土拦挡措施，上部进行苫盖，</w:t>
            </w:r>
            <w:r>
              <w:rPr>
                <w:rFonts w:hint="eastAsia" w:cs="Times New Roman"/>
                <w:color w:val="auto"/>
                <w:kern w:val="21"/>
                <w:sz w:val="24"/>
                <w:szCs w:val="24"/>
                <w:highlight w:val="yellow"/>
                <w:lang w:val="en-US" w:eastAsia="zh-CN"/>
              </w:rPr>
              <w:t>施工结束后进行</w:t>
            </w:r>
            <w:r>
              <w:rPr>
                <w:rFonts w:hint="eastAsia" w:ascii="Times New Roman" w:hAnsi="Times New Roman" w:eastAsia="宋体" w:cs="Times New Roman"/>
                <w:color w:val="auto"/>
                <w:kern w:val="21"/>
                <w:sz w:val="24"/>
                <w:szCs w:val="24"/>
                <w:highlight w:val="yellow"/>
                <w:lang w:eastAsia="zh-CN"/>
              </w:rPr>
              <w:t>表土回覆，无新增临时占地。</w:t>
            </w:r>
            <w:r>
              <w:rPr>
                <w:rFonts w:hint="eastAsia" w:ascii="Times New Roman" w:hAnsi="Times New Roman" w:eastAsia="宋体" w:cs="Times New Roman"/>
                <w:color w:val="auto"/>
                <w:sz w:val="24"/>
                <w:szCs w:val="24"/>
                <w:highlight w:val="yellow"/>
                <w:lang w:val="en-US" w:eastAsia="zh-CN"/>
              </w:rPr>
              <w:t>项目剥离表土用于路基边坡绿化</w:t>
            </w:r>
            <w:r>
              <w:rPr>
                <w:rFonts w:hint="eastAsia" w:cs="Times New Roman"/>
                <w:color w:val="auto"/>
                <w:sz w:val="24"/>
                <w:szCs w:val="24"/>
                <w:highlight w:val="yellow"/>
                <w:lang w:val="en-US" w:eastAsia="zh-CN"/>
              </w:rPr>
              <w:t>，</w:t>
            </w:r>
            <w:r>
              <w:rPr>
                <w:rFonts w:hint="default" w:ascii="Times New Roman" w:hAnsi="Times New Roman" w:eastAsia="宋体" w:cs="Times New Roman"/>
                <w:color w:val="auto"/>
                <w:sz w:val="24"/>
                <w:szCs w:val="24"/>
                <w:highlight w:val="yellow"/>
              </w:rPr>
              <w:t>具体详见表2-</w:t>
            </w:r>
            <w:r>
              <w:rPr>
                <w:rFonts w:hint="eastAsia" w:cs="Times New Roman"/>
                <w:color w:val="auto"/>
                <w:sz w:val="24"/>
                <w:szCs w:val="24"/>
                <w:highlight w:val="yellow"/>
                <w:lang w:val="en-US" w:eastAsia="zh-CN"/>
              </w:rPr>
              <w:t>9</w:t>
            </w:r>
            <w:r>
              <w:rPr>
                <w:rFonts w:hint="default" w:ascii="Times New Roman" w:hAnsi="Times New Roman" w:eastAsia="宋体" w:cs="Times New Roman"/>
                <w:color w:val="auto"/>
                <w:sz w:val="24"/>
                <w:szCs w:val="24"/>
                <w:highlight w:val="yellow"/>
              </w:rPr>
              <w:t>。</w:t>
            </w:r>
          </w:p>
          <w:p w14:paraId="4B56F26D">
            <w:pPr>
              <w:pStyle w:val="27"/>
              <w:spacing w:line="24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表2-</w:t>
            </w:r>
            <w:r>
              <w:rPr>
                <w:rFonts w:hint="eastAsia"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 xml:space="preserve"> 土石方平衡表（单位：万m</w:t>
            </w:r>
            <w:r>
              <w:rPr>
                <w:rFonts w:hint="default" w:ascii="Times New Roman" w:hAnsi="Times New Roman" w:eastAsia="宋体" w:cs="Times New Roman"/>
                <w:b/>
                <w:bCs/>
                <w:color w:val="auto"/>
                <w:sz w:val="24"/>
                <w:szCs w:val="24"/>
                <w:highlight w:val="none"/>
                <w:vertAlign w:val="superscript"/>
              </w:rPr>
              <w:t>3</w:t>
            </w:r>
            <w:r>
              <w:rPr>
                <w:rFonts w:hint="default" w:ascii="Times New Roman" w:hAnsi="Times New Roman" w:eastAsia="宋体" w:cs="Times New Roman"/>
                <w:b/>
                <w:bCs/>
                <w:color w:val="auto"/>
                <w:sz w:val="24"/>
                <w:szCs w:val="24"/>
                <w:highlight w:val="none"/>
              </w:rPr>
              <w:t>）</w:t>
            </w:r>
          </w:p>
          <w:tbl>
            <w:tblPr>
              <w:tblStyle w:val="15"/>
              <w:tblW w:w="0" w:type="auto"/>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53"/>
              <w:gridCol w:w="597"/>
              <w:gridCol w:w="487"/>
              <w:gridCol w:w="509"/>
              <w:gridCol w:w="708"/>
              <w:gridCol w:w="597"/>
              <w:gridCol w:w="487"/>
              <w:gridCol w:w="708"/>
              <w:gridCol w:w="509"/>
              <w:gridCol w:w="498"/>
              <w:gridCol w:w="597"/>
              <w:gridCol w:w="487"/>
              <w:gridCol w:w="708"/>
              <w:gridCol w:w="509"/>
              <w:gridCol w:w="437"/>
            </w:tblGrid>
            <w:tr w14:paraId="0E3CDC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0" w:type="auto"/>
                  <w:vMerge w:val="restart"/>
                  <w:tcBorders>
                    <w:tl2br w:val="nil"/>
                    <w:tr2bl w:val="nil"/>
                  </w:tcBorders>
                  <w:shd w:val="clear" w:color="auto" w:fill="auto"/>
                  <w:vAlign w:val="center"/>
                </w:tcPr>
                <w:p w14:paraId="6C92A6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类别</w:t>
                  </w:r>
                </w:p>
              </w:tc>
              <w:tc>
                <w:tcPr>
                  <w:tcW w:w="0" w:type="auto"/>
                  <w:gridSpan w:val="4"/>
                  <w:tcBorders>
                    <w:tl2br w:val="nil"/>
                    <w:tr2bl w:val="nil"/>
                  </w:tcBorders>
                  <w:shd w:val="clear" w:color="auto" w:fill="auto"/>
                  <w:vAlign w:val="center"/>
                </w:tcPr>
                <w:p w14:paraId="3C1D7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填方</w:t>
                  </w:r>
                </w:p>
              </w:tc>
              <w:tc>
                <w:tcPr>
                  <w:tcW w:w="0" w:type="auto"/>
                  <w:gridSpan w:val="3"/>
                  <w:tcBorders>
                    <w:tl2br w:val="nil"/>
                    <w:tr2bl w:val="nil"/>
                  </w:tcBorders>
                  <w:shd w:val="clear" w:color="auto" w:fill="auto"/>
                  <w:vAlign w:val="center"/>
                </w:tcPr>
                <w:p w14:paraId="4A5A1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挖方</w:t>
                  </w:r>
                </w:p>
              </w:tc>
              <w:tc>
                <w:tcPr>
                  <w:tcW w:w="0" w:type="auto"/>
                  <w:tcBorders>
                    <w:tl2br w:val="nil"/>
                    <w:tr2bl w:val="nil"/>
                  </w:tcBorders>
                  <w:shd w:val="clear" w:color="auto" w:fill="auto"/>
                  <w:vAlign w:val="center"/>
                </w:tcPr>
                <w:p w14:paraId="1287FA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0" w:type="auto"/>
                  <w:tcBorders>
                    <w:tl2br w:val="nil"/>
                    <w:tr2bl w:val="nil"/>
                  </w:tcBorders>
                  <w:shd w:val="clear" w:color="auto" w:fill="auto"/>
                  <w:vAlign w:val="center"/>
                </w:tcPr>
                <w:p w14:paraId="78D05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借方</w:t>
                  </w:r>
                </w:p>
              </w:tc>
              <w:tc>
                <w:tcPr>
                  <w:tcW w:w="0" w:type="auto"/>
                  <w:gridSpan w:val="4"/>
                  <w:tcBorders>
                    <w:tl2br w:val="nil"/>
                    <w:tr2bl w:val="nil"/>
                  </w:tcBorders>
                  <w:shd w:val="clear" w:color="auto" w:fill="auto"/>
                  <w:vAlign w:val="center"/>
                </w:tcPr>
                <w:p w14:paraId="6111A7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利用方</w:t>
                  </w:r>
                </w:p>
              </w:tc>
              <w:tc>
                <w:tcPr>
                  <w:tcW w:w="0" w:type="auto"/>
                  <w:tcBorders>
                    <w:tl2br w:val="nil"/>
                    <w:tr2bl w:val="nil"/>
                  </w:tcBorders>
                  <w:shd w:val="clear" w:color="auto" w:fill="auto"/>
                  <w:vAlign w:val="center"/>
                </w:tcPr>
                <w:p w14:paraId="7A7243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弃方</w:t>
                  </w:r>
                </w:p>
              </w:tc>
            </w:tr>
            <w:tr w14:paraId="2E8BB3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auto"/>
                  <w:vAlign w:val="center"/>
                </w:tcPr>
                <w:p w14:paraId="3A1E7A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none"/>
                    </w:rPr>
                  </w:pPr>
                </w:p>
              </w:tc>
              <w:tc>
                <w:tcPr>
                  <w:tcW w:w="0" w:type="auto"/>
                  <w:tcBorders>
                    <w:tl2br w:val="nil"/>
                    <w:tr2bl w:val="nil"/>
                  </w:tcBorders>
                  <w:shd w:val="clear" w:color="auto" w:fill="auto"/>
                  <w:vAlign w:val="center"/>
                </w:tcPr>
                <w:p w14:paraId="181F67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土石方</w:t>
                  </w:r>
                </w:p>
              </w:tc>
              <w:tc>
                <w:tcPr>
                  <w:tcW w:w="0" w:type="auto"/>
                  <w:tcBorders>
                    <w:tl2br w:val="nil"/>
                    <w:tr2bl w:val="nil"/>
                  </w:tcBorders>
                  <w:shd w:val="clear" w:color="auto" w:fill="auto"/>
                  <w:vAlign w:val="center"/>
                </w:tcPr>
                <w:p w14:paraId="63FA99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表土</w:t>
                  </w:r>
                </w:p>
              </w:tc>
              <w:tc>
                <w:tcPr>
                  <w:tcW w:w="0" w:type="auto"/>
                  <w:tcBorders>
                    <w:tl2br w:val="nil"/>
                    <w:tr2bl w:val="nil"/>
                  </w:tcBorders>
                  <w:shd w:val="clear" w:color="auto" w:fill="auto"/>
                  <w:vAlign w:val="center"/>
                </w:tcPr>
                <w:p w14:paraId="7D7B5C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旧路垃圾</w:t>
                  </w:r>
                </w:p>
              </w:tc>
              <w:tc>
                <w:tcPr>
                  <w:tcW w:w="0" w:type="auto"/>
                  <w:tcBorders>
                    <w:tl2br w:val="nil"/>
                    <w:tr2bl w:val="nil"/>
                  </w:tcBorders>
                  <w:shd w:val="clear" w:color="auto" w:fill="auto"/>
                  <w:vAlign w:val="center"/>
                </w:tcPr>
                <w:p w14:paraId="28B470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特殊路基</w:t>
                  </w:r>
                </w:p>
              </w:tc>
              <w:tc>
                <w:tcPr>
                  <w:tcW w:w="0" w:type="auto"/>
                  <w:tcBorders>
                    <w:tl2br w:val="nil"/>
                    <w:tr2bl w:val="nil"/>
                  </w:tcBorders>
                  <w:shd w:val="clear" w:color="auto" w:fill="auto"/>
                  <w:vAlign w:val="center"/>
                </w:tcPr>
                <w:p w14:paraId="2B4FB6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土石方</w:t>
                  </w:r>
                </w:p>
              </w:tc>
              <w:tc>
                <w:tcPr>
                  <w:tcW w:w="0" w:type="auto"/>
                  <w:tcBorders>
                    <w:tl2br w:val="nil"/>
                    <w:tr2bl w:val="nil"/>
                  </w:tcBorders>
                  <w:shd w:val="clear" w:color="auto" w:fill="auto"/>
                  <w:vAlign w:val="center"/>
                </w:tcPr>
                <w:p w14:paraId="442E02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表土</w:t>
                  </w:r>
                </w:p>
              </w:tc>
              <w:tc>
                <w:tcPr>
                  <w:tcW w:w="0" w:type="auto"/>
                  <w:tcBorders>
                    <w:tl2br w:val="nil"/>
                    <w:tr2bl w:val="nil"/>
                  </w:tcBorders>
                  <w:shd w:val="clear" w:color="auto" w:fill="auto"/>
                  <w:vAlign w:val="center"/>
                </w:tcPr>
                <w:p w14:paraId="02B88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特殊路基</w:t>
                  </w:r>
                </w:p>
              </w:tc>
              <w:tc>
                <w:tcPr>
                  <w:tcW w:w="0" w:type="auto"/>
                  <w:tcBorders>
                    <w:tl2br w:val="nil"/>
                    <w:tr2bl w:val="nil"/>
                  </w:tcBorders>
                  <w:shd w:val="clear" w:color="auto" w:fill="auto"/>
                  <w:vAlign w:val="center"/>
                </w:tcPr>
                <w:p w14:paraId="232BEB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旧路垃圾</w:t>
                  </w:r>
                </w:p>
              </w:tc>
              <w:tc>
                <w:tcPr>
                  <w:tcW w:w="0" w:type="auto"/>
                  <w:tcBorders>
                    <w:tl2br w:val="nil"/>
                    <w:tr2bl w:val="nil"/>
                  </w:tcBorders>
                  <w:shd w:val="clear" w:color="auto" w:fill="auto"/>
                  <w:vAlign w:val="center"/>
                </w:tcPr>
                <w:p w14:paraId="2738D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土石方</w:t>
                  </w:r>
                </w:p>
              </w:tc>
              <w:tc>
                <w:tcPr>
                  <w:tcW w:w="0" w:type="auto"/>
                  <w:tcBorders>
                    <w:tl2br w:val="nil"/>
                    <w:tr2bl w:val="nil"/>
                  </w:tcBorders>
                  <w:shd w:val="clear" w:color="auto" w:fill="auto"/>
                  <w:vAlign w:val="center"/>
                </w:tcPr>
                <w:p w14:paraId="30D91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土石方</w:t>
                  </w:r>
                </w:p>
              </w:tc>
              <w:tc>
                <w:tcPr>
                  <w:tcW w:w="0" w:type="auto"/>
                  <w:tcBorders>
                    <w:tl2br w:val="nil"/>
                    <w:tr2bl w:val="nil"/>
                  </w:tcBorders>
                  <w:shd w:val="clear" w:color="auto" w:fill="auto"/>
                  <w:vAlign w:val="center"/>
                </w:tcPr>
                <w:p w14:paraId="31F95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表土</w:t>
                  </w:r>
                </w:p>
              </w:tc>
              <w:tc>
                <w:tcPr>
                  <w:tcW w:w="0" w:type="auto"/>
                  <w:tcBorders>
                    <w:tl2br w:val="nil"/>
                    <w:tr2bl w:val="nil"/>
                  </w:tcBorders>
                  <w:shd w:val="clear" w:color="auto" w:fill="auto"/>
                  <w:vAlign w:val="center"/>
                </w:tcPr>
                <w:p w14:paraId="6F9B1E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特殊路基</w:t>
                  </w:r>
                </w:p>
              </w:tc>
              <w:tc>
                <w:tcPr>
                  <w:tcW w:w="0" w:type="auto"/>
                  <w:tcBorders>
                    <w:tl2br w:val="nil"/>
                    <w:tr2bl w:val="nil"/>
                  </w:tcBorders>
                  <w:shd w:val="clear" w:color="auto" w:fill="auto"/>
                  <w:vAlign w:val="center"/>
                </w:tcPr>
                <w:p w14:paraId="55DD6A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旧路垃圾</w:t>
                  </w:r>
                </w:p>
              </w:tc>
              <w:tc>
                <w:tcPr>
                  <w:tcW w:w="0" w:type="auto"/>
                  <w:tcBorders>
                    <w:tl2br w:val="nil"/>
                    <w:tr2bl w:val="nil"/>
                  </w:tcBorders>
                  <w:shd w:val="clear" w:color="auto" w:fill="auto"/>
                  <w:vAlign w:val="center"/>
                </w:tcPr>
                <w:p w14:paraId="3D148A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D09DF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0" w:type="auto"/>
                  <w:tcBorders>
                    <w:tl2br w:val="nil"/>
                    <w:tr2bl w:val="nil"/>
                  </w:tcBorders>
                  <w:shd w:val="clear" w:color="auto" w:fill="auto"/>
                  <w:vAlign w:val="center"/>
                </w:tcPr>
                <w:p w14:paraId="16BAAA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断面土方</w:t>
                  </w:r>
                </w:p>
              </w:tc>
              <w:tc>
                <w:tcPr>
                  <w:tcW w:w="597" w:type="dxa"/>
                  <w:tcBorders>
                    <w:tl2br w:val="nil"/>
                    <w:tr2bl w:val="nil"/>
                  </w:tcBorders>
                  <w:shd w:val="clear" w:color="auto" w:fill="auto"/>
                  <w:vAlign w:val="center"/>
                </w:tcPr>
                <w:p w14:paraId="0E358A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5.63</w:t>
                  </w:r>
                </w:p>
              </w:tc>
              <w:tc>
                <w:tcPr>
                  <w:tcW w:w="487" w:type="dxa"/>
                  <w:tcBorders>
                    <w:tl2br w:val="nil"/>
                    <w:tr2bl w:val="nil"/>
                  </w:tcBorders>
                  <w:shd w:val="clear" w:color="auto" w:fill="auto"/>
                  <w:vAlign w:val="center"/>
                </w:tcPr>
                <w:p w14:paraId="293FE9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509" w:type="dxa"/>
                  <w:tcBorders>
                    <w:tl2br w:val="nil"/>
                    <w:tr2bl w:val="nil"/>
                  </w:tcBorders>
                  <w:shd w:val="clear" w:color="auto" w:fill="auto"/>
                  <w:vAlign w:val="center"/>
                </w:tcPr>
                <w:p w14:paraId="4B2261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708" w:type="dxa"/>
                  <w:tcBorders>
                    <w:tl2br w:val="nil"/>
                    <w:tr2bl w:val="nil"/>
                  </w:tcBorders>
                  <w:shd w:val="clear" w:color="auto" w:fill="auto"/>
                  <w:vAlign w:val="center"/>
                </w:tcPr>
                <w:p w14:paraId="3AEFBC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5.24</w:t>
                  </w:r>
                </w:p>
              </w:tc>
              <w:tc>
                <w:tcPr>
                  <w:tcW w:w="597" w:type="dxa"/>
                  <w:tcBorders>
                    <w:tl2br w:val="nil"/>
                    <w:tr2bl w:val="nil"/>
                  </w:tcBorders>
                  <w:shd w:val="clear" w:color="auto" w:fill="auto"/>
                  <w:vAlign w:val="center"/>
                </w:tcPr>
                <w:p w14:paraId="724F9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2.83</w:t>
                  </w:r>
                </w:p>
              </w:tc>
              <w:tc>
                <w:tcPr>
                  <w:tcW w:w="487" w:type="dxa"/>
                  <w:tcBorders>
                    <w:tl2br w:val="nil"/>
                    <w:tr2bl w:val="nil"/>
                  </w:tcBorders>
                  <w:shd w:val="clear" w:color="auto" w:fill="auto"/>
                  <w:vAlign w:val="center"/>
                </w:tcPr>
                <w:p w14:paraId="77AFF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708" w:type="dxa"/>
                  <w:tcBorders>
                    <w:tl2br w:val="nil"/>
                    <w:tr2bl w:val="nil"/>
                  </w:tcBorders>
                  <w:shd w:val="clear" w:color="auto" w:fill="auto"/>
                  <w:vAlign w:val="center"/>
                </w:tcPr>
                <w:p w14:paraId="57058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5.24</w:t>
                  </w:r>
                </w:p>
              </w:tc>
              <w:tc>
                <w:tcPr>
                  <w:tcW w:w="509" w:type="dxa"/>
                  <w:tcBorders>
                    <w:tl2br w:val="nil"/>
                    <w:tr2bl w:val="nil"/>
                  </w:tcBorders>
                  <w:shd w:val="clear" w:color="auto" w:fill="auto"/>
                  <w:vAlign w:val="center"/>
                </w:tcPr>
                <w:p w14:paraId="30063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98" w:type="dxa"/>
                  <w:tcBorders>
                    <w:tl2br w:val="nil"/>
                    <w:tr2bl w:val="nil"/>
                  </w:tcBorders>
                  <w:shd w:val="clear" w:color="auto" w:fill="auto"/>
                  <w:vAlign w:val="center"/>
                </w:tcPr>
                <w:p w14:paraId="1FA4A5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597" w:type="dxa"/>
                  <w:tcBorders>
                    <w:tl2br w:val="nil"/>
                    <w:tr2bl w:val="nil"/>
                  </w:tcBorders>
                  <w:shd w:val="clear" w:color="auto" w:fill="auto"/>
                  <w:vAlign w:val="center"/>
                </w:tcPr>
                <w:p w14:paraId="6D44A9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2.83</w:t>
                  </w:r>
                </w:p>
              </w:tc>
              <w:tc>
                <w:tcPr>
                  <w:tcW w:w="487" w:type="dxa"/>
                  <w:tcBorders>
                    <w:tl2br w:val="nil"/>
                    <w:tr2bl w:val="nil"/>
                  </w:tcBorders>
                  <w:shd w:val="clear" w:color="auto" w:fill="auto"/>
                  <w:vAlign w:val="center"/>
                </w:tcPr>
                <w:p w14:paraId="2C8B4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708" w:type="dxa"/>
                  <w:tcBorders>
                    <w:tl2br w:val="nil"/>
                    <w:tr2bl w:val="nil"/>
                  </w:tcBorders>
                  <w:shd w:val="clear" w:color="auto" w:fill="auto"/>
                  <w:vAlign w:val="center"/>
                </w:tcPr>
                <w:p w14:paraId="26DA4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5.24</w:t>
                  </w:r>
                </w:p>
              </w:tc>
              <w:tc>
                <w:tcPr>
                  <w:tcW w:w="509" w:type="dxa"/>
                  <w:tcBorders>
                    <w:tl2br w:val="nil"/>
                    <w:tr2bl w:val="nil"/>
                  </w:tcBorders>
                  <w:shd w:val="clear" w:color="auto" w:fill="auto"/>
                  <w:vAlign w:val="center"/>
                </w:tcPr>
                <w:p w14:paraId="784090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37" w:type="dxa"/>
                  <w:tcBorders>
                    <w:tl2br w:val="nil"/>
                    <w:tr2bl w:val="nil"/>
                  </w:tcBorders>
                  <w:shd w:val="clear" w:color="auto" w:fill="auto"/>
                  <w:vAlign w:val="center"/>
                </w:tcPr>
                <w:p w14:paraId="763E7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13EF7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0" w:type="auto"/>
                  <w:tcBorders>
                    <w:tl2br w:val="nil"/>
                    <w:tr2bl w:val="nil"/>
                  </w:tcBorders>
                  <w:shd w:val="clear" w:color="auto" w:fill="auto"/>
                  <w:vAlign w:val="center"/>
                </w:tcPr>
                <w:p w14:paraId="69E9E3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2301" w:type="dxa"/>
                  <w:gridSpan w:val="4"/>
                  <w:tcBorders>
                    <w:tl2br w:val="nil"/>
                    <w:tr2bl w:val="nil"/>
                  </w:tcBorders>
                  <w:shd w:val="clear" w:color="auto" w:fill="auto"/>
                  <w:vAlign w:val="center"/>
                </w:tcPr>
                <w:p w14:paraId="1FB583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13.07</w:t>
                  </w:r>
                </w:p>
              </w:tc>
              <w:tc>
                <w:tcPr>
                  <w:tcW w:w="2301" w:type="dxa"/>
                  <w:gridSpan w:val="4"/>
                  <w:tcBorders>
                    <w:tl2br w:val="nil"/>
                    <w:tr2bl w:val="nil"/>
                  </w:tcBorders>
                  <w:shd w:val="clear" w:color="auto" w:fill="auto"/>
                  <w:vAlign w:val="center"/>
                </w:tcPr>
                <w:p w14:paraId="7630A9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10.27</w:t>
                  </w:r>
                </w:p>
              </w:tc>
              <w:tc>
                <w:tcPr>
                  <w:tcW w:w="498" w:type="dxa"/>
                  <w:tcBorders>
                    <w:tl2br w:val="nil"/>
                    <w:tr2bl w:val="nil"/>
                  </w:tcBorders>
                  <w:shd w:val="clear" w:color="auto" w:fill="auto"/>
                  <w:vAlign w:val="center"/>
                </w:tcPr>
                <w:p w14:paraId="2D274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2301" w:type="dxa"/>
                  <w:gridSpan w:val="4"/>
                  <w:tcBorders>
                    <w:tl2br w:val="nil"/>
                    <w:tr2bl w:val="nil"/>
                  </w:tcBorders>
                  <w:shd w:val="clear" w:color="auto" w:fill="auto"/>
                  <w:noWrap/>
                  <w:vAlign w:val="center"/>
                </w:tcPr>
                <w:p w14:paraId="6CFBCD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10.27</w:t>
                  </w:r>
                </w:p>
              </w:tc>
              <w:tc>
                <w:tcPr>
                  <w:tcW w:w="437" w:type="dxa"/>
                  <w:tcBorders>
                    <w:tl2br w:val="nil"/>
                    <w:tr2bl w:val="nil"/>
                  </w:tcBorders>
                  <w:shd w:val="clear" w:color="auto" w:fill="auto"/>
                  <w:vAlign w:val="center"/>
                </w:tcPr>
                <w:p w14:paraId="1F2276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r>
          </w:tbl>
          <w:p w14:paraId="2B69CB20">
            <w:pPr>
              <w:adjustRightInd w:val="0"/>
              <w:snapToGrid w:val="0"/>
              <w:spacing w:line="480" w:lineRule="exact"/>
              <w:ind w:firstLine="482"/>
              <w:rPr>
                <w:b/>
                <w:color w:val="auto"/>
                <w:highlight w:val="none"/>
              </w:rPr>
            </w:pPr>
            <w:r>
              <w:rPr>
                <w:b/>
                <w:color w:val="auto"/>
                <w:highlight w:val="none"/>
              </w:rPr>
              <w:t>11</w:t>
            </w:r>
            <w:r>
              <w:rPr>
                <w:rFonts w:hint="eastAsia"/>
                <w:b/>
                <w:color w:val="auto"/>
                <w:highlight w:val="none"/>
              </w:rPr>
              <w:t>、工程投资</w:t>
            </w:r>
          </w:p>
          <w:p w14:paraId="0FB611A6">
            <w:pPr>
              <w:adjustRightInd w:val="0"/>
              <w:snapToGrid w:val="0"/>
              <w:spacing w:line="480" w:lineRule="exact"/>
              <w:ind w:firstLine="480"/>
              <w:rPr>
                <w:color w:val="auto"/>
                <w:highlight w:val="none"/>
              </w:rPr>
            </w:pPr>
            <w:r>
              <w:rPr>
                <w:rFonts w:hint="eastAsia"/>
                <w:color w:val="auto"/>
                <w:highlight w:val="none"/>
              </w:rPr>
              <w:t>本项目总投资</w:t>
            </w:r>
            <w:r>
              <w:rPr>
                <w:rFonts w:hint="eastAsia"/>
                <w:color w:val="auto"/>
                <w:highlight w:val="none"/>
                <w:lang w:val="en-US" w:eastAsia="zh-CN"/>
              </w:rPr>
              <w:t>8382.6311</w:t>
            </w:r>
            <w:r>
              <w:rPr>
                <w:rFonts w:hint="eastAsia"/>
                <w:color w:val="auto"/>
                <w:highlight w:val="none"/>
              </w:rPr>
              <w:t>万元</w:t>
            </w:r>
            <w:r>
              <w:rPr>
                <w:rFonts w:hint="eastAsia" w:eastAsia="宋体" w:cs="Times New Roman"/>
                <w:color w:val="auto"/>
                <w:sz w:val="24"/>
                <w:szCs w:val="24"/>
                <w:highlight w:val="none"/>
                <w:lang w:val="en-US" w:eastAsia="zh-CN"/>
              </w:rPr>
              <w:t>，资金来源于申请国家补贴和地方政府自筹解决。</w:t>
            </w:r>
          </w:p>
        </w:tc>
      </w:tr>
    </w:tbl>
    <w:p w14:paraId="4AE0683F">
      <w:pPr>
        <w:rPr>
          <w:color w:val="auto"/>
          <w:sz w:val="21"/>
          <w:szCs w:val="21"/>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15"/>
        <w:tblW w:w="50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8076"/>
      </w:tblGrid>
      <w:tr w14:paraId="27E3A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14:paraId="4B8E51AC">
            <w:pPr>
              <w:pStyle w:val="28"/>
              <w:spacing w:line="288" w:lineRule="auto"/>
              <w:rPr>
                <w:rFonts w:hint="default"/>
                <w:color w:val="auto"/>
                <w:sz w:val="24"/>
                <w:szCs w:val="24"/>
                <w:highlight w:val="none"/>
              </w:rPr>
            </w:pPr>
            <w:r>
              <w:rPr>
                <w:color w:val="auto"/>
                <w:sz w:val="24"/>
                <w:szCs w:val="24"/>
                <w:highlight w:val="none"/>
              </w:rPr>
              <w:t>总平面及现场布置</w:t>
            </w:r>
          </w:p>
        </w:tc>
        <w:tc>
          <w:tcPr>
            <w:tcW w:w="8076" w:type="dxa"/>
            <w:vAlign w:val="center"/>
          </w:tcPr>
          <w:p w14:paraId="46C5B19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rFonts w:hint="eastAsia"/>
                <w:b/>
                <w:color w:val="auto"/>
                <w:highlight w:val="none"/>
              </w:rPr>
              <w:t>1、线路总平面布置</w:t>
            </w:r>
          </w:p>
          <w:p w14:paraId="05226A1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w:t>
            </w:r>
            <w:r>
              <w:rPr>
                <w:rFonts w:hint="eastAsia" w:ascii="Times New Roman" w:hAnsi="Times New Roman" w:eastAsia="宋体" w:cs="Times New Roman"/>
                <w:color w:val="auto"/>
                <w:sz w:val="24"/>
                <w:szCs w:val="24"/>
                <w:highlight w:val="none"/>
                <w:lang w:val="en-US" w:eastAsia="zh-CN"/>
              </w:rPr>
              <w:t>黑龙江省绥化市兰西县，起点K0+000位于前回春岭屯北侧路口处与旧路顺接，沿旧路继续向南前行，途径前回春岭、鞠家油坊、长荣村、三合屯、双堡村、长江乡、万宝山，终点K18+777位于万宝山南侧，与旧路顺接。路线全长18.777km，利用旧路提质升级，</w:t>
            </w:r>
            <w:r>
              <w:rPr>
                <w:rFonts w:hint="default" w:ascii="Times New Roman" w:hAnsi="Times New Roman" w:eastAsia="宋体" w:cs="Times New Roman"/>
                <w:color w:val="auto"/>
                <w:sz w:val="24"/>
                <w:szCs w:val="24"/>
                <w:highlight w:val="none"/>
              </w:rPr>
              <w:t>仅对现有公路进行帮宽，全线不改线。</w:t>
            </w:r>
            <w:r>
              <w:rPr>
                <w:rFonts w:hint="eastAsia" w:ascii="Times New Roman" w:hAnsi="Times New Roman" w:eastAsia="宋体" w:cs="Times New Roman"/>
                <w:color w:val="auto"/>
                <w:sz w:val="24"/>
                <w:szCs w:val="24"/>
                <w:highlight w:val="none"/>
                <w:lang w:val="en-US" w:eastAsia="zh-CN"/>
              </w:rPr>
              <w:t>设置小桥17.54m/1座，完全利用；涵洞12道，其中新建钢筋混凝土圆管涵6道</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拆除新建钢筋混凝土圆管涵5道</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拆除新建钢筋混凝土箱涵1道。</w:t>
            </w:r>
          </w:p>
          <w:p w14:paraId="580AC06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本项目路线平、纵面缩图见附图二。</w:t>
            </w:r>
          </w:p>
          <w:p w14:paraId="2CB4700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b w:val="0"/>
                <w:bCs/>
                <w:color w:val="auto"/>
                <w:kern w:val="21"/>
                <w:sz w:val="24"/>
                <w:szCs w:val="24"/>
                <w:highlight w:val="none"/>
                <w:u w:val="none"/>
              </w:rPr>
            </w:pPr>
            <w:r>
              <w:rPr>
                <w:rFonts w:hint="eastAsia" w:ascii="Times New Roman" w:hAnsi="Times New Roman" w:eastAsia="宋体"/>
                <w:b w:val="0"/>
                <w:bCs/>
                <w:color w:val="auto"/>
                <w:kern w:val="21"/>
                <w:sz w:val="24"/>
                <w:szCs w:val="24"/>
                <w:highlight w:val="none"/>
                <w:u w:val="none"/>
                <w:lang w:val="en-US" w:eastAsia="zh-CN"/>
              </w:rPr>
              <w:t>2、现场布置</w:t>
            </w:r>
          </w:p>
          <w:p w14:paraId="58DD2F9D">
            <w:pPr>
              <w:pStyle w:val="6"/>
              <w:pageBreakBefore w:val="0"/>
              <w:widowControl w:val="0"/>
              <w:kinsoku/>
              <w:wordWrap/>
              <w:overflowPunct/>
              <w:topLinePunct w:val="0"/>
              <w:autoSpaceDE/>
              <w:autoSpaceDN/>
              <w:bidi w:val="0"/>
              <w:adjustRightInd/>
              <w:snapToGrid/>
              <w:spacing w:before="0" w:after="0" w:line="360" w:lineRule="auto"/>
              <w:ind w:firstLine="480" w:firstLineChars="200"/>
              <w:textAlignment w:val="auto"/>
              <w:outlineLvl w:val="2"/>
              <w:rPr>
                <w:rFonts w:ascii="Times New Roman" w:hAnsi="Times New Roman"/>
                <w:b w:val="0"/>
                <w:bCs w:val="0"/>
                <w:color w:val="auto"/>
                <w:spacing w:val="0"/>
                <w:sz w:val="24"/>
                <w:szCs w:val="24"/>
                <w:highlight w:val="none"/>
              </w:rPr>
            </w:pPr>
            <w:r>
              <w:rPr>
                <w:rFonts w:hint="eastAsia" w:ascii="Times New Roman" w:hAnsi="Times New Roman" w:eastAsia="宋体"/>
                <w:b w:val="0"/>
                <w:bCs w:val="0"/>
                <w:color w:val="auto"/>
                <w:kern w:val="21"/>
                <w:sz w:val="24"/>
                <w:szCs w:val="24"/>
                <w:highlight w:val="none"/>
                <w:u w:val="none"/>
                <w:lang w:eastAsia="zh-CN"/>
              </w:rPr>
              <w:t>项目</w:t>
            </w:r>
            <w:r>
              <w:rPr>
                <w:rFonts w:hint="eastAsia" w:eastAsia="宋体"/>
                <w:b w:val="0"/>
                <w:bCs w:val="0"/>
                <w:color w:val="auto"/>
                <w:kern w:val="21"/>
                <w:sz w:val="24"/>
                <w:szCs w:val="24"/>
                <w:highlight w:val="none"/>
                <w:u w:val="none"/>
                <w:lang w:eastAsia="zh-CN"/>
              </w:rPr>
              <w:t>未新增</w:t>
            </w:r>
            <w:r>
              <w:rPr>
                <w:rFonts w:hint="eastAsia" w:ascii="Times New Roman" w:hAnsi="Times New Roman" w:eastAsia="宋体"/>
                <w:b w:val="0"/>
                <w:bCs w:val="0"/>
                <w:color w:val="auto"/>
                <w:kern w:val="21"/>
                <w:sz w:val="24"/>
                <w:szCs w:val="24"/>
                <w:highlight w:val="none"/>
                <w:u w:val="none"/>
              </w:rPr>
              <w:t>临时占地，均设置在永久占地范围内。</w:t>
            </w:r>
            <w:r>
              <w:rPr>
                <w:rFonts w:hint="eastAsia" w:ascii="Times New Roman" w:hAnsi="Times New Roman" w:eastAsia="宋体"/>
                <w:b w:val="0"/>
                <w:color w:val="auto"/>
                <w:kern w:val="21"/>
                <w:sz w:val="24"/>
                <w:highlight w:val="none"/>
                <w:u w:val="none"/>
              </w:rPr>
              <w:t>不设置集中取、弃土场，所用土石方外购，剥离表土</w:t>
            </w:r>
            <w:r>
              <w:rPr>
                <w:rFonts w:hint="eastAsia" w:ascii="Times New Roman" w:hAnsi="Times New Roman" w:eastAsia="宋体"/>
                <w:b w:val="0"/>
                <w:color w:val="auto"/>
                <w:kern w:val="21"/>
                <w:sz w:val="24"/>
                <w:highlight w:val="none"/>
                <w:u w:val="none"/>
                <w:lang w:eastAsia="zh-CN"/>
              </w:rPr>
              <w:t>暂存在永久占地范围内</w:t>
            </w:r>
            <w:r>
              <w:rPr>
                <w:rFonts w:hint="eastAsia" w:ascii="Times New Roman" w:hAnsi="Times New Roman" w:eastAsia="宋体"/>
                <w:b w:val="0"/>
                <w:color w:val="auto"/>
                <w:kern w:val="21"/>
                <w:sz w:val="24"/>
                <w:highlight w:val="none"/>
                <w:u w:val="none"/>
              </w:rPr>
              <w:t>用于覆土和绿化</w:t>
            </w:r>
            <w:r>
              <w:rPr>
                <w:rFonts w:hint="eastAsia" w:ascii="Times New Roman" w:hAnsi="Times New Roman" w:eastAsia="宋体"/>
                <w:b w:val="0"/>
                <w:color w:val="auto"/>
                <w:kern w:val="21"/>
                <w:sz w:val="24"/>
                <w:highlight w:val="none"/>
                <w:u w:val="none"/>
                <w:lang w:eastAsia="zh-CN"/>
              </w:rPr>
              <w:t>，</w:t>
            </w:r>
            <w:r>
              <w:rPr>
                <w:rFonts w:hint="eastAsia" w:ascii="Times New Roman" w:hAnsi="Times New Roman" w:eastAsia="宋体"/>
                <w:b w:val="0"/>
                <w:bCs/>
                <w:color w:val="auto"/>
                <w:kern w:val="21"/>
                <w:sz w:val="24"/>
                <w:szCs w:val="24"/>
                <w:highlight w:val="none"/>
                <w:u w:val="none"/>
              </w:rPr>
              <w:t>拆除旧路回用路基填筑</w:t>
            </w:r>
            <w:r>
              <w:rPr>
                <w:rFonts w:hint="eastAsia" w:ascii="Times New Roman" w:hAnsi="Times New Roman" w:eastAsia="宋体"/>
                <w:b w:val="0"/>
                <w:bCs/>
                <w:color w:val="auto"/>
                <w:kern w:val="21"/>
                <w:sz w:val="24"/>
                <w:szCs w:val="24"/>
                <w:highlight w:val="none"/>
                <w:u w:val="none"/>
                <w:lang w:eastAsia="zh-CN"/>
              </w:rPr>
              <w:t>。</w:t>
            </w:r>
            <w:r>
              <w:rPr>
                <w:rFonts w:ascii="Times New Roman" w:hAnsi="Times New Roman" w:eastAsia="宋体"/>
                <w:b w:val="0"/>
                <w:color w:val="auto"/>
                <w:kern w:val="21"/>
                <w:sz w:val="24"/>
                <w:highlight w:val="none"/>
                <w:u w:val="none"/>
              </w:rPr>
              <w:t>不设置拌合站，</w:t>
            </w:r>
            <w:r>
              <w:rPr>
                <w:rFonts w:hint="eastAsia" w:ascii="Times New Roman" w:hAnsi="Times New Roman" w:eastAsia="宋体"/>
                <w:b w:val="0"/>
                <w:color w:val="auto"/>
                <w:kern w:val="21"/>
                <w:sz w:val="24"/>
                <w:highlight w:val="none"/>
                <w:u w:val="none"/>
              </w:rPr>
              <w:t>所</w:t>
            </w:r>
            <w:r>
              <w:rPr>
                <w:rFonts w:hint="eastAsia" w:ascii="Times New Roman" w:hAnsi="Times New Roman" w:eastAsia="宋体"/>
                <w:b w:val="0"/>
                <w:color w:val="auto"/>
                <w:kern w:val="21"/>
                <w:sz w:val="24"/>
                <w:highlight w:val="none"/>
                <w:u w:val="none"/>
                <w:lang w:eastAsia="zh-CN"/>
              </w:rPr>
              <w:t>用</w:t>
            </w:r>
            <w:r>
              <w:rPr>
                <w:rFonts w:hint="eastAsia" w:ascii="Times New Roman" w:hAnsi="Times New Roman" w:eastAsia="宋体"/>
                <w:b w:val="0"/>
                <w:color w:val="auto"/>
                <w:kern w:val="21"/>
                <w:sz w:val="24"/>
                <w:highlight w:val="none"/>
                <w:u w:val="none"/>
              </w:rPr>
              <w:t>碎石及水泥混凝土等外购</w:t>
            </w:r>
            <w:r>
              <w:rPr>
                <w:rFonts w:hint="eastAsia" w:ascii="Times New Roman" w:hAnsi="Times New Roman" w:eastAsia="宋体"/>
                <w:b w:val="0"/>
                <w:color w:val="auto"/>
                <w:kern w:val="21"/>
                <w:sz w:val="24"/>
                <w:highlight w:val="none"/>
                <w:u w:val="none"/>
                <w:lang w:eastAsia="zh-CN"/>
              </w:rPr>
              <w:t>。</w:t>
            </w:r>
            <w:r>
              <w:rPr>
                <w:rFonts w:ascii="Times New Roman" w:hAnsi="Times New Roman" w:eastAsia="宋体"/>
                <w:b w:val="0"/>
                <w:color w:val="auto"/>
                <w:kern w:val="21"/>
                <w:sz w:val="24"/>
                <w:highlight w:val="none"/>
                <w:u w:val="none"/>
              </w:rPr>
              <w:t>不设置</w:t>
            </w:r>
            <w:r>
              <w:rPr>
                <w:rFonts w:hint="eastAsia" w:ascii="Times New Roman" w:hAnsi="Times New Roman" w:eastAsia="宋体"/>
                <w:b w:val="0"/>
                <w:color w:val="auto"/>
                <w:kern w:val="21"/>
                <w:sz w:val="24"/>
                <w:highlight w:val="none"/>
                <w:u w:val="none"/>
              </w:rPr>
              <w:t>施工驻地，施工人员食宿租赁附近民宅</w:t>
            </w:r>
            <w:r>
              <w:rPr>
                <w:rFonts w:hint="eastAsia" w:ascii="Times New Roman" w:hAnsi="Times New Roman" w:eastAsia="宋体"/>
                <w:b w:val="0"/>
                <w:color w:val="auto"/>
                <w:kern w:val="21"/>
                <w:sz w:val="24"/>
                <w:highlight w:val="none"/>
                <w:u w:val="none"/>
                <w:lang w:eastAsia="zh-CN"/>
              </w:rPr>
              <w:t>。</w:t>
            </w:r>
            <w:r>
              <w:rPr>
                <w:rFonts w:hint="eastAsia" w:eastAsia="宋体" w:cs="Times New Roman"/>
                <w:color w:val="auto"/>
                <w:sz w:val="24"/>
                <w:szCs w:val="24"/>
                <w:highlight w:val="none"/>
                <w:lang w:val="en-US" w:eastAsia="zh-CN"/>
              </w:rPr>
              <w:t>项目施工可依托原有旧路，不设置施工便道</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因此本项目未新增临时占地。</w:t>
            </w:r>
          </w:p>
          <w:p w14:paraId="6A58A814">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color w:val="auto"/>
                <w:highlight w:val="none"/>
              </w:rPr>
            </w:pPr>
          </w:p>
        </w:tc>
      </w:tr>
      <w:tr w14:paraId="2902B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9" w:hRule="atLeast"/>
          <w:jc w:val="center"/>
        </w:trPr>
        <w:tc>
          <w:tcPr>
            <w:tcW w:w="471" w:type="dxa"/>
            <w:vAlign w:val="center"/>
          </w:tcPr>
          <w:p w14:paraId="3D317E28">
            <w:pPr>
              <w:pStyle w:val="28"/>
              <w:spacing w:line="288" w:lineRule="auto"/>
              <w:rPr>
                <w:rFonts w:hint="default"/>
                <w:color w:val="auto"/>
                <w:sz w:val="24"/>
                <w:szCs w:val="24"/>
                <w:highlight w:val="none"/>
              </w:rPr>
            </w:pPr>
            <w:r>
              <w:rPr>
                <w:color w:val="auto"/>
                <w:sz w:val="24"/>
                <w:szCs w:val="24"/>
                <w:highlight w:val="none"/>
              </w:rPr>
              <w:t>施工方案</w:t>
            </w:r>
          </w:p>
        </w:tc>
        <w:tc>
          <w:tcPr>
            <w:tcW w:w="8076" w:type="dxa"/>
            <w:vAlign w:val="center"/>
          </w:tcPr>
          <w:p w14:paraId="4C265C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b/>
                <w:color w:val="auto"/>
                <w:highlight w:val="none"/>
              </w:rPr>
            </w:pPr>
            <w:r>
              <w:rPr>
                <w:rFonts w:hint="eastAsia"/>
                <w:b/>
                <w:color w:val="auto"/>
                <w:highlight w:val="none"/>
                <w:lang w:val="en-US" w:eastAsia="zh-CN"/>
              </w:rPr>
              <w:t>1、</w:t>
            </w:r>
            <w:r>
              <w:rPr>
                <w:rFonts w:hint="eastAsia"/>
                <w:b/>
                <w:color w:val="auto"/>
                <w:highlight w:val="none"/>
              </w:rPr>
              <w:t>施工方式及时序</w:t>
            </w:r>
          </w:p>
          <w:p w14:paraId="6935DB9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color w:val="auto"/>
                <w:highlight w:val="none"/>
              </w:rPr>
            </w:pPr>
            <w:r>
              <w:rPr>
                <w:rFonts w:hint="eastAsia"/>
                <w:color w:val="auto"/>
                <w:highlight w:val="none"/>
              </w:rPr>
              <w:t>道路施工先后顺序为路基施工、路面施工、交通工程及沿线设施施工，先对原有旧路路基全部挖除、场地平整，路面先基层、后面层施工。</w:t>
            </w:r>
          </w:p>
          <w:p w14:paraId="3B544EBC">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b/>
                <w:color w:val="auto"/>
                <w:highlight w:val="none"/>
              </w:rPr>
            </w:pPr>
            <w:r>
              <w:rPr>
                <w:rFonts w:hint="eastAsia"/>
                <w:b/>
                <w:color w:val="auto"/>
                <w:highlight w:val="none"/>
              </w:rPr>
              <w:t>2、建设周期</w:t>
            </w:r>
          </w:p>
          <w:p w14:paraId="58B8B242">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eastAsia="宋体"/>
                <w:color w:val="auto"/>
                <w:highlight w:val="yellow"/>
                <w:lang w:eastAsia="zh-CN"/>
              </w:rPr>
            </w:pPr>
            <w:r>
              <w:rPr>
                <w:rFonts w:hint="eastAsia"/>
                <w:color w:val="auto"/>
                <w:highlight w:val="yellow"/>
              </w:rPr>
              <w:t>本项目建设周期为202</w:t>
            </w:r>
            <w:r>
              <w:rPr>
                <w:rFonts w:hint="eastAsia"/>
                <w:color w:val="auto"/>
                <w:highlight w:val="yellow"/>
                <w:lang w:val="en-US" w:eastAsia="zh-CN"/>
              </w:rPr>
              <w:t>5</w:t>
            </w:r>
            <w:r>
              <w:rPr>
                <w:rFonts w:hint="eastAsia"/>
                <w:color w:val="auto"/>
                <w:highlight w:val="yellow"/>
              </w:rPr>
              <w:t>年</w:t>
            </w:r>
            <w:r>
              <w:rPr>
                <w:rFonts w:hint="eastAsia"/>
                <w:color w:val="auto"/>
                <w:highlight w:val="yellow"/>
                <w:lang w:val="en-US" w:eastAsia="zh-CN"/>
              </w:rPr>
              <w:t>5</w:t>
            </w:r>
            <w:r>
              <w:rPr>
                <w:rFonts w:hint="eastAsia"/>
                <w:color w:val="auto"/>
                <w:highlight w:val="yellow"/>
              </w:rPr>
              <w:t>月至2025年</w:t>
            </w:r>
            <w:r>
              <w:rPr>
                <w:rFonts w:hint="eastAsia"/>
                <w:color w:val="auto"/>
                <w:highlight w:val="yellow"/>
                <w:lang w:val="en-US" w:eastAsia="zh-CN"/>
              </w:rPr>
              <w:t>12</w:t>
            </w:r>
            <w:r>
              <w:rPr>
                <w:rFonts w:hint="eastAsia"/>
                <w:color w:val="auto"/>
                <w:highlight w:val="yellow"/>
              </w:rPr>
              <w:t>月，计划于</w:t>
            </w:r>
            <w:r>
              <w:rPr>
                <w:rFonts w:hint="eastAsia"/>
                <w:color w:val="auto"/>
                <w:highlight w:val="yellow"/>
                <w:lang w:val="en-US" w:eastAsia="zh-CN"/>
              </w:rPr>
              <w:t>12月</w:t>
            </w:r>
            <w:r>
              <w:rPr>
                <w:rFonts w:hint="eastAsia"/>
                <w:color w:val="auto"/>
                <w:highlight w:val="yellow"/>
              </w:rPr>
              <w:t>交工通车</w:t>
            </w:r>
            <w:r>
              <w:rPr>
                <w:rFonts w:hint="eastAsia"/>
                <w:color w:val="auto"/>
                <w:highlight w:val="yellow"/>
                <w:lang w:eastAsia="zh-CN"/>
              </w:rPr>
              <w:t>。</w:t>
            </w:r>
          </w:p>
          <w:p w14:paraId="73E089F4">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b/>
                <w:color w:val="auto"/>
                <w:highlight w:val="none"/>
              </w:rPr>
            </w:pPr>
            <w:r>
              <w:rPr>
                <w:rFonts w:hint="eastAsia"/>
                <w:b/>
                <w:color w:val="auto"/>
                <w:highlight w:val="none"/>
              </w:rPr>
              <w:t>3、施工工艺</w:t>
            </w:r>
          </w:p>
          <w:p w14:paraId="6E0E8A8E">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center"/>
              <w:textAlignment w:val="auto"/>
              <w:rPr>
                <w:rFonts w:hint="default" w:ascii="Times New Roman" w:hAnsi="Times New Roman" w:eastAsia="宋体" w:cs="Times New Roman"/>
                <w:color w:val="auto"/>
                <w:sz w:val="21"/>
                <w:szCs w:val="21"/>
                <w:highlight w:val="none"/>
                <w:lang w:eastAsia="zh-CN"/>
              </w:rPr>
            </w:pPr>
            <w:r>
              <w:rPr>
                <w:rFonts w:hint="eastAsia"/>
                <w:color w:val="auto"/>
                <w:highlight w:val="none"/>
              </w:rPr>
              <w:t>工程建设过程中路基工程将首先开工，路面及交通设施等工程后续跟进，各类工程因其作业方式不同，所产生污染物种类和数量也有所差异。</w:t>
            </w:r>
            <w:r>
              <w:rPr>
                <w:rFonts w:hint="default" w:ascii="Times New Roman" w:hAnsi="Times New Roman" w:eastAsia="宋体" w:cs="Times New Roman"/>
                <w:color w:val="auto"/>
                <w:sz w:val="21"/>
                <w:szCs w:val="21"/>
                <w:highlight w:val="none"/>
                <w:lang w:eastAsia="zh-CN"/>
              </w:rPr>
              <w:drawing>
                <wp:inline distT="0" distB="0" distL="114300" distR="114300">
                  <wp:extent cx="4237355" cy="2578735"/>
                  <wp:effectExtent l="0" t="0" r="10795" b="12065"/>
                  <wp:docPr id="4" name="图片 14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6" descr="图片1"/>
                          <pic:cNvPicPr>
                            <a:picLocks noChangeAspect="1"/>
                          </pic:cNvPicPr>
                        </pic:nvPicPr>
                        <pic:blipFill>
                          <a:blip r:embed="rId15"/>
                          <a:stretch>
                            <a:fillRect/>
                          </a:stretch>
                        </pic:blipFill>
                        <pic:spPr>
                          <a:xfrm>
                            <a:off x="0" y="0"/>
                            <a:ext cx="4237355" cy="2578735"/>
                          </a:xfrm>
                          <a:prstGeom prst="rect">
                            <a:avLst/>
                          </a:prstGeom>
                          <a:noFill/>
                          <a:ln>
                            <a:noFill/>
                          </a:ln>
                        </pic:spPr>
                      </pic:pic>
                    </a:graphicData>
                  </a:graphic>
                </wp:inline>
              </w:drawing>
            </w:r>
          </w:p>
          <w:p w14:paraId="296A6CAC">
            <w:pPr>
              <w:adjustRightInd w:val="0"/>
              <w:snapToGrid w:val="0"/>
              <w:spacing w:line="480" w:lineRule="exact"/>
              <w:ind w:firstLine="0" w:firstLineChars="0"/>
              <w:jc w:val="center"/>
              <w:rPr>
                <w:b/>
                <w:color w:val="auto"/>
                <w:highlight w:val="none"/>
              </w:rPr>
            </w:pPr>
            <w:r>
              <w:rPr>
                <w:b/>
                <w:color w:val="auto"/>
                <w:highlight w:val="none"/>
              </w:rPr>
              <w:t>图2-14 本项目工艺及排污节点图</w:t>
            </w:r>
          </w:p>
          <w:p w14:paraId="673D787C">
            <w:pPr>
              <w:ind w:firstLine="48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）路基工程</w:t>
            </w:r>
          </w:p>
          <w:p w14:paraId="36225A7A">
            <w:pPr>
              <w:ind w:firstLine="48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①场地清理</w:t>
            </w:r>
          </w:p>
          <w:p w14:paraId="429825DC">
            <w:pPr>
              <w:ind w:firstLine="48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本项目施工先将植被清除或移植，将导致原有自然景观和生态环境破坏，导致地表裸露，并且在一定范围内造成水土流失；清理过程中施工机械噪声和扬尘对周围的环境造成污染。</w:t>
            </w:r>
          </w:p>
          <w:p w14:paraId="439FA998">
            <w:pPr>
              <w:ind w:firstLine="48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②路基填筑</w:t>
            </w:r>
          </w:p>
          <w:p w14:paraId="6FDA047D">
            <w:pPr>
              <w:ind w:firstLine="48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路基填土造成地表植被破坏，对沿线农业及草原生态环境造成不利影响。填筑材料运输和施工过程中将产生机械施工噪声与扬尘，影响周围声环境与环境空气质量。</w:t>
            </w:r>
          </w:p>
          <w:p w14:paraId="45D3D229">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）路面工程</w:t>
            </w:r>
          </w:p>
          <w:p w14:paraId="4AC76B33">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路面施工严格按照《公路路面基层施工技术细则》（JTG/TF20-2015）有关规定施工，路面基层和面层均采取摊铺机摊铺法施工；旧路采用破碎机将旧路面破碎后，挖掘机将旧路结构层全部挖除，利用至不良路段填筑中。</w:t>
            </w:r>
          </w:p>
          <w:p w14:paraId="0246CF18">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涵洞工程</w:t>
            </w:r>
          </w:p>
          <w:p w14:paraId="46155B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kern w:val="0"/>
                <w:sz w:val="24"/>
                <w:highlight w:val="none"/>
                <w:lang w:val="en-US" w:eastAsia="zh-CN"/>
              </w:rPr>
            </w:pPr>
            <w:r>
              <w:rPr>
                <w:rFonts w:hint="eastAsia"/>
                <w:b w:val="0"/>
                <w:bCs w:val="0"/>
                <w:color w:val="auto"/>
                <w:kern w:val="0"/>
                <w:sz w:val="24"/>
                <w:highlight w:val="none"/>
                <w:lang w:val="en-US" w:eastAsia="zh-CN"/>
              </w:rPr>
              <w:t>涵洞基坑开挖采用人工配合机械开挖。方管涵和圆管涵的涵身采用集中预制、吊车吊装、汽车运至工地的方式。台后、涵洞两侧基坑回填所用的材料应满足设计要求，分层夯实。</w:t>
            </w:r>
            <w:r>
              <w:rPr>
                <w:rFonts w:hint="default" w:ascii="Times New Roman" w:hAnsi="Times New Roman" w:eastAsia="宋体" w:cs="Times New Roman"/>
                <w:color w:val="auto"/>
                <w:sz w:val="24"/>
                <w:szCs w:val="24"/>
                <w:highlight w:val="none"/>
              </w:rPr>
              <w:t>主要施工工艺流程包括</w:t>
            </w:r>
            <w:r>
              <w:rPr>
                <w:rFonts w:hint="eastAsia" w:cs="Times New Roman"/>
                <w:color w:val="auto"/>
                <w:sz w:val="24"/>
                <w:szCs w:val="24"/>
                <w:highlight w:val="none"/>
                <w:lang w:val="en-US" w:eastAsia="zh-CN"/>
              </w:rPr>
              <w:t>原有涵洞</w:t>
            </w:r>
            <w:r>
              <w:rPr>
                <w:rFonts w:hint="default" w:ascii="Times New Roman" w:hAnsi="Times New Roman" w:eastAsia="宋体" w:cs="Times New Roman"/>
                <w:color w:val="auto"/>
                <w:sz w:val="24"/>
                <w:szCs w:val="24"/>
                <w:highlight w:val="none"/>
              </w:rPr>
              <w:t>拆除、基坑开挖、</w:t>
            </w:r>
            <w:r>
              <w:rPr>
                <w:rFonts w:hint="eastAsia" w:cs="Times New Roman"/>
                <w:color w:val="auto"/>
                <w:sz w:val="24"/>
                <w:szCs w:val="24"/>
                <w:highlight w:val="none"/>
                <w:lang w:val="en-US" w:eastAsia="zh-CN"/>
              </w:rPr>
              <w:t>基础施工、</w:t>
            </w:r>
            <w:r>
              <w:rPr>
                <w:rFonts w:hint="default" w:ascii="Times New Roman" w:hAnsi="Times New Roman" w:eastAsia="宋体" w:cs="Times New Roman"/>
                <w:color w:val="auto"/>
                <w:sz w:val="24"/>
                <w:szCs w:val="24"/>
                <w:highlight w:val="none"/>
              </w:rPr>
              <w:t>浇筑混凝土、</w:t>
            </w:r>
            <w:r>
              <w:rPr>
                <w:rFonts w:hint="eastAsia" w:cs="Times New Roman"/>
                <w:color w:val="auto"/>
                <w:sz w:val="24"/>
                <w:szCs w:val="24"/>
                <w:highlight w:val="none"/>
                <w:lang w:val="en-US" w:eastAsia="zh-CN"/>
              </w:rPr>
              <w:t>安装附属工程</w:t>
            </w:r>
            <w:r>
              <w:rPr>
                <w:rFonts w:hint="eastAsia" w:cs="Times New Roman"/>
                <w:color w:val="auto"/>
                <w:sz w:val="24"/>
                <w:szCs w:val="24"/>
                <w:highlight w:val="none"/>
                <w:lang w:eastAsia="zh-CN"/>
              </w:rPr>
              <w:t>。</w:t>
            </w:r>
          </w:p>
          <w:p w14:paraId="3653561A">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eastAsia" w:cs="Times New Roman"/>
                <w:color w:val="auto"/>
                <w:sz w:val="24"/>
                <w:szCs w:val="24"/>
                <w:highlight w:val="none"/>
                <w:lang w:val="en-US" w:eastAsia="zh-CN"/>
              </w:rPr>
            </w:pPr>
          </w:p>
          <w:p w14:paraId="3491E34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0"/>
                <w:sz w:val="24"/>
                <w:highlight w:val="none"/>
              </w:rPr>
            </w:pPr>
            <w:r>
              <w:rPr>
                <w:rFonts w:hint="eastAsia"/>
                <w:b/>
                <w:bCs/>
                <w:color w:val="auto"/>
                <w:kern w:val="0"/>
                <w:sz w:val="24"/>
                <w:highlight w:val="none"/>
                <w:lang w:val="en-US" w:eastAsia="zh-CN"/>
              </w:rPr>
              <w:t>4、筑路材料及运输条件</w:t>
            </w:r>
          </w:p>
          <w:p w14:paraId="149DFB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auto"/>
                <w:kern w:val="0"/>
                <w:sz w:val="24"/>
                <w:highlight w:val="none"/>
                <w:lang w:val="en-US" w:eastAsia="zh-CN"/>
              </w:rPr>
            </w:pPr>
            <w:r>
              <w:rPr>
                <w:rFonts w:hint="default"/>
                <w:b w:val="0"/>
                <w:bCs w:val="0"/>
                <w:color w:val="auto"/>
                <w:kern w:val="0"/>
                <w:sz w:val="24"/>
                <w:highlight w:val="none"/>
                <w:lang w:val="en-US" w:eastAsia="zh-CN"/>
              </w:rPr>
              <w:t>⑴石料</w:t>
            </w:r>
          </w:p>
          <w:p w14:paraId="7B7DD9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auto"/>
                <w:kern w:val="0"/>
                <w:sz w:val="24"/>
                <w:highlight w:val="none"/>
                <w:lang w:val="en-US" w:eastAsia="zh-CN"/>
              </w:rPr>
            </w:pPr>
            <w:r>
              <w:rPr>
                <w:rFonts w:hint="eastAsia"/>
                <w:b w:val="0"/>
                <w:bCs w:val="0"/>
                <w:color w:val="auto"/>
                <w:kern w:val="0"/>
                <w:sz w:val="24"/>
                <w:highlight w:val="none"/>
                <w:lang w:val="en-US" w:eastAsia="zh-CN"/>
              </w:rPr>
              <w:t>工程所用碎石可由阿城石场购买，交通便利。</w:t>
            </w:r>
            <w:r>
              <w:rPr>
                <w:rFonts w:hint="default"/>
                <w:b w:val="0"/>
                <w:bCs w:val="0"/>
                <w:color w:val="auto"/>
                <w:kern w:val="0"/>
                <w:sz w:val="24"/>
                <w:highlight w:val="none"/>
                <w:lang w:val="en-US" w:eastAsia="zh-CN"/>
              </w:rPr>
              <w:t>该石场生产碎石、片块石。储量丰富，材质为花岗岩，石质坚硬，强度高，可用于</w:t>
            </w:r>
            <w:r>
              <w:rPr>
                <w:rFonts w:hint="eastAsia"/>
                <w:b w:val="0"/>
                <w:bCs w:val="0"/>
                <w:color w:val="auto"/>
                <w:kern w:val="0"/>
                <w:sz w:val="24"/>
                <w:highlight w:val="none"/>
                <w:lang w:val="en-US" w:eastAsia="zh-CN"/>
              </w:rPr>
              <w:t>路面基层和路基工程</w:t>
            </w:r>
            <w:r>
              <w:rPr>
                <w:rFonts w:hint="default"/>
                <w:b w:val="0"/>
                <w:bCs w:val="0"/>
                <w:color w:val="auto"/>
                <w:kern w:val="0"/>
                <w:sz w:val="24"/>
                <w:highlight w:val="none"/>
                <w:lang w:val="en-US" w:eastAsia="zh-CN"/>
              </w:rPr>
              <w:t>。</w:t>
            </w:r>
          </w:p>
          <w:p w14:paraId="487F42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auto"/>
                <w:kern w:val="0"/>
                <w:sz w:val="24"/>
                <w:highlight w:val="none"/>
                <w:lang w:val="en-US" w:eastAsia="zh-CN"/>
              </w:rPr>
            </w:pPr>
            <w:r>
              <w:rPr>
                <w:rFonts w:hint="default"/>
                <w:b w:val="0"/>
                <w:bCs w:val="0"/>
                <w:color w:val="auto"/>
                <w:kern w:val="0"/>
                <w:sz w:val="24"/>
                <w:highlight w:val="none"/>
                <w:lang w:val="en-US" w:eastAsia="zh-CN"/>
              </w:rPr>
              <w:t>⑵砂、砂砾</w:t>
            </w:r>
          </w:p>
          <w:p w14:paraId="20C170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auto"/>
                <w:kern w:val="0"/>
                <w:sz w:val="24"/>
                <w:highlight w:val="none"/>
                <w:lang w:val="en-US" w:eastAsia="zh-CN"/>
              </w:rPr>
            </w:pPr>
            <w:r>
              <w:rPr>
                <w:rFonts w:hint="default"/>
                <w:b w:val="0"/>
                <w:bCs w:val="0"/>
                <w:color w:val="auto"/>
                <w:kern w:val="0"/>
                <w:sz w:val="24"/>
                <w:highlight w:val="none"/>
                <w:lang w:val="en-US" w:eastAsia="zh-CN"/>
              </w:rPr>
              <w:t>沿线共调查砂场1处，位于</w:t>
            </w:r>
            <w:r>
              <w:rPr>
                <w:rFonts w:hint="eastAsia"/>
                <w:b w:val="0"/>
                <w:bCs w:val="0"/>
                <w:color w:val="auto"/>
                <w:kern w:val="0"/>
                <w:sz w:val="24"/>
                <w:highlight w:val="none"/>
                <w:lang w:val="en-US" w:eastAsia="zh-CN"/>
              </w:rPr>
              <w:t>兰西</w:t>
            </w:r>
            <w:r>
              <w:rPr>
                <w:rFonts w:hint="default"/>
                <w:b w:val="0"/>
                <w:bCs w:val="0"/>
                <w:color w:val="auto"/>
                <w:kern w:val="0"/>
                <w:sz w:val="24"/>
                <w:highlight w:val="none"/>
                <w:lang w:val="en-US" w:eastAsia="zh-CN"/>
              </w:rPr>
              <w:t>县。主要生产中粗砂及砂砾，储量丰富，含泥量小，磨圆性好，强度高，可用于路基路面、排水防护等工程。</w:t>
            </w:r>
          </w:p>
          <w:p w14:paraId="5EDF3D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auto"/>
                <w:kern w:val="0"/>
                <w:sz w:val="24"/>
                <w:highlight w:val="none"/>
                <w:lang w:val="en-US" w:eastAsia="zh-CN"/>
              </w:rPr>
            </w:pPr>
            <w:r>
              <w:rPr>
                <w:rFonts w:hint="default"/>
                <w:b w:val="0"/>
                <w:bCs w:val="0"/>
                <w:color w:val="auto"/>
                <w:kern w:val="0"/>
                <w:sz w:val="24"/>
                <w:highlight w:val="none"/>
                <w:lang w:val="en-US" w:eastAsia="zh-CN"/>
              </w:rPr>
              <w:t>⑶水泥</w:t>
            </w:r>
          </w:p>
          <w:p w14:paraId="439EBF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auto"/>
                <w:kern w:val="0"/>
                <w:sz w:val="24"/>
                <w:highlight w:val="none"/>
                <w:lang w:val="en-US" w:eastAsia="zh-CN"/>
              </w:rPr>
            </w:pPr>
            <w:r>
              <w:rPr>
                <w:rFonts w:hint="default"/>
                <w:b w:val="0"/>
                <w:bCs w:val="0"/>
                <w:color w:val="auto"/>
                <w:kern w:val="0"/>
                <w:sz w:val="24"/>
                <w:highlight w:val="none"/>
                <w:lang w:val="en-US" w:eastAsia="zh-CN"/>
              </w:rPr>
              <w:t>水泥由哈尔滨市水泥厂提供，主要生产各种早强及普通标号的硅酸盐水泥，产品质量合格率达到100%，主要技术指标均满足要求。</w:t>
            </w:r>
          </w:p>
          <w:p w14:paraId="33D71E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auto"/>
                <w:kern w:val="0"/>
                <w:sz w:val="24"/>
                <w:highlight w:val="none"/>
                <w:lang w:val="en-US" w:eastAsia="zh-CN"/>
              </w:rPr>
            </w:pPr>
            <w:r>
              <w:rPr>
                <w:rFonts w:hint="default"/>
                <w:b w:val="0"/>
                <w:bCs w:val="0"/>
                <w:color w:val="auto"/>
                <w:kern w:val="0"/>
                <w:sz w:val="24"/>
                <w:highlight w:val="none"/>
                <w:lang w:val="en-US" w:eastAsia="zh-CN"/>
              </w:rPr>
              <w:t>⑷运输条件</w:t>
            </w:r>
          </w:p>
          <w:p w14:paraId="1E41F5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auto"/>
                <w:kern w:val="0"/>
                <w:sz w:val="24"/>
                <w:highlight w:val="none"/>
                <w:lang w:val="en-US" w:eastAsia="zh-CN"/>
              </w:rPr>
            </w:pPr>
            <w:r>
              <w:rPr>
                <w:rFonts w:hint="default"/>
                <w:b w:val="0"/>
                <w:bCs w:val="0"/>
                <w:color w:val="auto"/>
                <w:kern w:val="0"/>
                <w:sz w:val="24"/>
                <w:highlight w:val="none"/>
                <w:lang w:val="en-US" w:eastAsia="zh-CN"/>
              </w:rPr>
              <w:t>外购材料均由汽车运输至项目沿线。</w:t>
            </w:r>
          </w:p>
          <w:p w14:paraId="68861E9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highlight w:val="yellow"/>
                <w:lang w:val="en-US" w:eastAsia="zh-CN"/>
              </w:rPr>
            </w:pPr>
            <w:r>
              <w:rPr>
                <w:rFonts w:hint="eastAsia" w:ascii="Times New Roman" w:hAnsi="Times New Roman" w:eastAsia="宋体" w:cs="Times New Roman"/>
                <w:b/>
                <w:bCs/>
                <w:color w:val="auto"/>
                <w:kern w:val="0"/>
                <w:sz w:val="24"/>
                <w:highlight w:val="yellow"/>
                <w:lang w:val="en-US" w:eastAsia="zh-CN"/>
              </w:rPr>
              <w:t>5、</w:t>
            </w:r>
            <w:r>
              <w:rPr>
                <w:rFonts w:hint="default" w:ascii="Times New Roman" w:hAnsi="Times New Roman" w:eastAsia="宋体" w:cs="Times New Roman"/>
                <w:b/>
                <w:bCs/>
                <w:color w:val="auto"/>
                <w:kern w:val="0"/>
                <w:sz w:val="24"/>
                <w:highlight w:val="yellow"/>
                <w:lang w:val="en-US" w:eastAsia="zh-CN"/>
              </w:rPr>
              <w:t>交通组织方案</w:t>
            </w:r>
          </w:p>
          <w:p w14:paraId="1238F46A">
            <w:pPr>
              <w:spacing w:line="360" w:lineRule="auto"/>
              <w:ind w:firstLine="480" w:firstLineChars="200"/>
              <w:rPr>
                <w:rFonts w:hint="default" w:ascii="Times New Roman" w:hAnsi="Times New Roman" w:cs="Times New Roman"/>
                <w:color w:val="000000" w:themeColor="text1"/>
                <w:sz w:val="24"/>
                <w:highlight w:val="yellow"/>
                <w14:textFill>
                  <w14:solidFill>
                    <w14:schemeClr w14:val="tx1"/>
                  </w14:solidFill>
                </w14:textFill>
              </w:rPr>
            </w:pPr>
            <w:r>
              <w:rPr>
                <w:rFonts w:hint="default" w:ascii="Times New Roman" w:hAnsi="Times New Roman" w:cs="Times New Roman"/>
                <w:color w:val="000000" w:themeColor="text1"/>
                <w:sz w:val="24"/>
                <w:highlight w:val="yellow"/>
                <w14:textFill>
                  <w14:solidFill>
                    <w14:schemeClr w14:val="tx1"/>
                  </w14:solidFill>
                </w14:textFill>
              </w:rPr>
              <w:t>本项目为改扩建项目，全线通行具体方案如下：</w:t>
            </w:r>
          </w:p>
          <w:p w14:paraId="237ABEAE">
            <w:pPr>
              <w:spacing w:line="360" w:lineRule="auto"/>
              <w:ind w:firstLine="480" w:firstLineChars="200"/>
              <w:rPr>
                <w:rFonts w:hint="default"/>
                <w:b w:val="0"/>
                <w:bCs w:val="0"/>
                <w:color w:val="auto"/>
                <w:kern w:val="0"/>
                <w:sz w:val="24"/>
                <w:highlight w:val="none"/>
                <w:lang w:val="en-US" w:eastAsia="zh-CN"/>
              </w:rPr>
            </w:pPr>
            <w:r>
              <w:rPr>
                <w:rFonts w:hint="default" w:ascii="Times New Roman" w:hAnsi="Times New Roman" w:cs="Times New Roman"/>
                <w:color w:val="000000" w:themeColor="text1"/>
                <w:sz w:val="24"/>
                <w:highlight w:val="yellow"/>
                <w14:textFill>
                  <w14:solidFill>
                    <w14:schemeClr w14:val="tx1"/>
                  </w14:solidFill>
                </w14:textFill>
              </w:rPr>
              <w:t>施工对周边村民出行有一定影响，因此采用半幅施工，限时通行。施工期间提前设置标志、标牌，并安排保通人员24小时现场值班指挥交通。</w:t>
            </w:r>
          </w:p>
        </w:tc>
      </w:tr>
      <w:tr w14:paraId="486AEC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14:paraId="5A8A6C66">
            <w:pPr>
              <w:adjustRightInd w:val="0"/>
              <w:snapToGrid w:val="0"/>
              <w:spacing w:line="480" w:lineRule="exact"/>
              <w:ind w:firstLine="0" w:firstLineChars="0"/>
              <w:jc w:val="center"/>
              <w:rPr>
                <w:rFonts w:ascii="宋体" w:hAnsi="宋体"/>
                <w:color w:val="auto"/>
                <w:highlight w:val="none"/>
              </w:rPr>
            </w:pPr>
            <w:r>
              <w:rPr>
                <w:rFonts w:hint="eastAsia" w:ascii="宋体" w:hAnsi="宋体"/>
                <w:color w:val="auto"/>
                <w:highlight w:val="none"/>
              </w:rPr>
              <w:t>其他</w:t>
            </w:r>
          </w:p>
        </w:tc>
        <w:tc>
          <w:tcPr>
            <w:tcW w:w="8076" w:type="dxa"/>
            <w:vAlign w:val="center"/>
          </w:tcPr>
          <w:p w14:paraId="0F1B6B84">
            <w:pPr>
              <w:adjustRightInd w:val="0"/>
              <w:snapToGrid w:val="0"/>
              <w:spacing w:line="480" w:lineRule="exact"/>
              <w:ind w:firstLine="482"/>
              <w:jc w:val="left"/>
              <w:rPr>
                <w:b/>
                <w:color w:val="auto"/>
                <w:highlight w:val="none"/>
              </w:rPr>
            </w:pPr>
            <w:r>
              <w:rPr>
                <w:rFonts w:hint="default" w:ascii="Times New Roman" w:hAnsi="Times New Roman" w:eastAsia="宋体" w:cs="Times New Roman"/>
                <w:color w:val="auto"/>
                <w:sz w:val="24"/>
                <w:szCs w:val="24"/>
                <w:highlight w:val="none"/>
                <w:lang w:val="en-US" w:eastAsia="zh-CN"/>
              </w:rPr>
              <w:t>本项目2023 年兰西县农村公路提质升级项目临江至长江公路改扩建工程，路线建设里程</w:t>
            </w:r>
            <w:r>
              <w:rPr>
                <w:rFonts w:hint="eastAsia" w:cs="Times New Roman"/>
                <w:color w:val="auto"/>
                <w:sz w:val="24"/>
                <w:szCs w:val="24"/>
                <w:highlight w:val="none"/>
                <w:lang w:val="en-US" w:eastAsia="zh-CN"/>
              </w:rPr>
              <w:t>18.777</w:t>
            </w:r>
            <w:r>
              <w:rPr>
                <w:rFonts w:hint="default" w:ascii="Times New Roman" w:hAnsi="Times New Roman" w:eastAsia="宋体" w:cs="Times New Roman"/>
                <w:color w:val="auto"/>
                <w:sz w:val="24"/>
                <w:szCs w:val="24"/>
                <w:highlight w:val="none"/>
                <w:lang w:val="en-US" w:eastAsia="zh-CN"/>
              </w:rPr>
              <w:t>公里，全部利用旧路改扩建。受土地类别、地形条件、路网规划等条件限制，走廊带唯一，路线控制点明确，走向清晰。因此本项目路线方案不进行比选。</w:t>
            </w:r>
          </w:p>
          <w:p w14:paraId="40D26B89">
            <w:pPr>
              <w:adjustRightInd w:val="0"/>
              <w:snapToGrid w:val="0"/>
              <w:spacing w:line="480" w:lineRule="exact"/>
              <w:ind w:firstLine="482"/>
              <w:jc w:val="center"/>
              <w:rPr>
                <w:b/>
                <w:color w:val="auto"/>
                <w:highlight w:val="none"/>
              </w:rPr>
            </w:pPr>
          </w:p>
          <w:p w14:paraId="3ECCD368">
            <w:pPr>
              <w:adjustRightInd w:val="0"/>
              <w:snapToGrid w:val="0"/>
              <w:spacing w:line="480" w:lineRule="exact"/>
              <w:ind w:firstLine="480"/>
              <w:jc w:val="center"/>
              <w:rPr>
                <w:rFonts w:ascii="宋体" w:hAnsi="宋体"/>
                <w:color w:val="auto"/>
                <w:highlight w:val="none"/>
              </w:rPr>
            </w:pPr>
          </w:p>
        </w:tc>
      </w:tr>
    </w:tbl>
    <w:p w14:paraId="1DFDDAF3">
      <w:pPr>
        <w:ind w:firstLine="482"/>
        <w:rPr>
          <w:rFonts w:eastAsia="仿宋_GB2312"/>
          <w:b/>
          <w:bCs/>
          <w:color w:val="auto"/>
          <w:highlight w:val="none"/>
        </w:rPr>
        <w:sectPr>
          <w:pgSz w:w="11906" w:h="16838"/>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66587536">
      <w:pPr>
        <w:ind w:firstLine="40"/>
        <w:rPr>
          <w:color w:val="auto"/>
          <w:sz w:val="2"/>
          <w:szCs w:val="2"/>
          <w:highlight w:val="none"/>
        </w:rPr>
      </w:pPr>
    </w:p>
    <w:p w14:paraId="07B5D149">
      <w:pPr>
        <w:pStyle w:val="5"/>
        <w:snapToGrid/>
        <w:spacing w:before="0" w:after="0" w:line="360" w:lineRule="auto"/>
        <w:ind w:left="0" w:firstLine="0" w:firstLineChars="0"/>
        <w:jc w:val="center"/>
        <w:rPr>
          <w:b w:val="0"/>
          <w:bCs w:val="0"/>
          <w:color w:val="auto"/>
          <w:highlight w:val="none"/>
        </w:rPr>
      </w:pPr>
      <w:bookmarkStart w:id="8" w:name="_Toc8425"/>
      <w:bookmarkStart w:id="9" w:name="_Toc152588070"/>
      <w:r>
        <w:rPr>
          <w:rFonts w:hint="eastAsia"/>
          <w:b w:val="0"/>
          <w:bCs w:val="0"/>
          <w:color w:val="auto"/>
          <w:highlight w:val="none"/>
        </w:rPr>
        <w:t>三、生态环境现状、保护目标及评价标准</w:t>
      </w:r>
      <w:bookmarkEnd w:id="8"/>
      <w:bookmarkEnd w:id="9"/>
    </w:p>
    <w:tbl>
      <w:tblPr>
        <w:tblStyle w:val="1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7770"/>
      </w:tblGrid>
      <w:tr w14:paraId="6FDFF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7" w:hRule="atLeast"/>
          <w:jc w:val="center"/>
        </w:trPr>
        <w:tc>
          <w:tcPr>
            <w:tcW w:w="450" w:type="pct"/>
            <w:vAlign w:val="center"/>
          </w:tcPr>
          <w:p w14:paraId="343B4D29">
            <w:pPr>
              <w:ind w:firstLine="0" w:firstLineChars="0"/>
              <w:jc w:val="center"/>
              <w:rPr>
                <w:color w:val="auto"/>
                <w:highlight w:val="none"/>
              </w:rPr>
            </w:pPr>
            <w:r>
              <w:rPr>
                <w:color w:val="auto"/>
                <w:highlight w:val="none"/>
              </w:rPr>
              <w:t>生态环境</w:t>
            </w:r>
          </w:p>
          <w:p w14:paraId="618EDBC8">
            <w:pPr>
              <w:ind w:firstLine="0" w:firstLineChars="0"/>
              <w:jc w:val="center"/>
              <w:rPr>
                <w:color w:val="auto"/>
                <w:highlight w:val="none"/>
              </w:rPr>
            </w:pPr>
            <w:r>
              <w:rPr>
                <w:color w:val="auto"/>
                <w:highlight w:val="none"/>
              </w:rPr>
              <w:t>现状</w:t>
            </w:r>
          </w:p>
        </w:tc>
        <w:tc>
          <w:tcPr>
            <w:tcW w:w="4550" w:type="pct"/>
            <w:vAlign w:val="center"/>
          </w:tcPr>
          <w:p w14:paraId="7558C351">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color w:val="auto"/>
                <w:kern w:val="0"/>
                <w:highlight w:val="none"/>
              </w:rPr>
            </w:pPr>
            <w:r>
              <w:rPr>
                <w:b/>
                <w:color w:val="auto"/>
                <w:kern w:val="0"/>
                <w:highlight w:val="none"/>
              </w:rPr>
              <w:t>1、主体功能区规划</w:t>
            </w:r>
          </w:p>
          <w:p w14:paraId="79A7793C">
            <w:pPr>
              <w:keepNext w:val="0"/>
              <w:keepLines w:val="0"/>
              <w:pageBreakBefore w:val="0"/>
              <w:widowControl w:val="0"/>
              <w:kinsoku/>
              <w:wordWrap/>
              <w:overflowPunct/>
              <w:topLinePunct w:val="0"/>
              <w:autoSpaceDE/>
              <w:autoSpaceDN/>
              <w:bidi w:val="0"/>
              <w:spacing w:line="360" w:lineRule="auto"/>
              <w:ind w:firstLine="480"/>
              <w:textAlignment w:val="auto"/>
              <w:rPr>
                <w:color w:val="auto"/>
                <w:kern w:val="0"/>
                <w:highlight w:val="none"/>
              </w:rPr>
            </w:pPr>
            <w:r>
              <w:rPr>
                <w:color w:val="auto"/>
                <w:kern w:val="0"/>
                <w:highlight w:val="none"/>
              </w:rPr>
              <w:t>本项目全线位于</w:t>
            </w:r>
            <w:r>
              <w:rPr>
                <w:rFonts w:hint="eastAsia"/>
                <w:color w:val="auto"/>
                <w:kern w:val="0"/>
                <w:highlight w:val="none"/>
                <w:lang w:val="en-US" w:eastAsia="zh-CN"/>
              </w:rPr>
              <w:t>绥化市兰西县</w:t>
            </w:r>
            <w:r>
              <w:rPr>
                <w:color w:val="auto"/>
                <w:kern w:val="0"/>
                <w:highlight w:val="none"/>
              </w:rPr>
              <w:t>境内，根据《黑龙江省主体功能区规划》（黑政发</w:t>
            </w:r>
            <w:r>
              <w:rPr>
                <w:rFonts w:hint="eastAsia"/>
                <w:color w:val="auto"/>
                <w:kern w:val="0"/>
                <w:highlight w:val="none"/>
              </w:rPr>
              <w:t>[</w:t>
            </w:r>
            <w:r>
              <w:rPr>
                <w:color w:val="auto"/>
                <w:kern w:val="0"/>
                <w:highlight w:val="none"/>
              </w:rPr>
              <w:t>2012</w:t>
            </w:r>
            <w:r>
              <w:rPr>
                <w:rFonts w:hint="eastAsia"/>
                <w:color w:val="auto"/>
                <w:kern w:val="0"/>
                <w:highlight w:val="none"/>
              </w:rPr>
              <w:t>]</w:t>
            </w:r>
            <w:r>
              <w:rPr>
                <w:color w:val="auto"/>
                <w:kern w:val="0"/>
                <w:highlight w:val="none"/>
              </w:rPr>
              <w:t>9号），</w:t>
            </w:r>
            <w:r>
              <w:rPr>
                <w:rFonts w:hint="eastAsia"/>
                <w:color w:val="auto"/>
                <w:kern w:val="0"/>
                <w:highlight w:val="none"/>
              </w:rPr>
              <w:t>属于限制开发区域（国家农产品主产区）</w:t>
            </w:r>
            <w:r>
              <w:rPr>
                <w:color w:val="auto"/>
                <w:kern w:val="0"/>
                <w:highlight w:val="none"/>
              </w:rPr>
              <w:t>。</w:t>
            </w:r>
          </w:p>
          <w:p w14:paraId="06AFCCCA">
            <w:pPr>
              <w:keepNext w:val="0"/>
              <w:keepLines w:val="0"/>
              <w:pageBreakBefore w:val="0"/>
              <w:widowControl w:val="0"/>
              <w:kinsoku/>
              <w:wordWrap/>
              <w:overflowPunct/>
              <w:topLinePunct w:val="0"/>
              <w:autoSpaceDE/>
              <w:autoSpaceDN/>
              <w:bidi w:val="0"/>
              <w:spacing w:line="360" w:lineRule="auto"/>
              <w:ind w:firstLine="480"/>
              <w:textAlignment w:val="auto"/>
              <w:rPr>
                <w:color w:val="auto"/>
                <w:kern w:val="0"/>
                <w:highlight w:val="none"/>
              </w:rPr>
            </w:pPr>
            <w:r>
              <w:rPr>
                <w:color w:val="auto"/>
                <w:kern w:val="0"/>
                <w:highlight w:val="none"/>
              </w:rPr>
              <w:t>功能定位：</w:t>
            </w:r>
            <w:r>
              <w:rPr>
                <w:rFonts w:hint="eastAsia"/>
                <w:color w:val="auto"/>
                <w:kern w:val="0"/>
                <w:highlight w:val="none"/>
              </w:rPr>
              <w:t>以提供农产品为主体功能，保障农产品供给安全的重要区域。重要的商品粮生产基地、绿色食品生产基地、畜牧业生产基地和农产品深加工区、农业综合开发试验区、社会主义新农村建设的示范区</w:t>
            </w:r>
            <w:r>
              <w:rPr>
                <w:color w:val="auto"/>
                <w:kern w:val="0"/>
                <w:highlight w:val="none"/>
              </w:rPr>
              <w:t>。</w:t>
            </w:r>
          </w:p>
          <w:p w14:paraId="4711DC78">
            <w:pPr>
              <w:keepNext w:val="0"/>
              <w:keepLines w:val="0"/>
              <w:pageBreakBefore w:val="0"/>
              <w:widowControl w:val="0"/>
              <w:kinsoku/>
              <w:wordWrap/>
              <w:overflowPunct/>
              <w:topLinePunct w:val="0"/>
              <w:autoSpaceDE/>
              <w:autoSpaceDN/>
              <w:bidi w:val="0"/>
              <w:spacing w:line="360" w:lineRule="auto"/>
              <w:ind w:firstLine="480"/>
              <w:textAlignment w:val="auto"/>
              <w:rPr>
                <w:color w:val="auto"/>
                <w:kern w:val="0"/>
                <w:highlight w:val="none"/>
              </w:rPr>
            </w:pPr>
            <w:r>
              <w:rPr>
                <w:color w:val="auto"/>
                <w:kern w:val="0"/>
                <w:highlight w:val="none"/>
              </w:rPr>
              <w:t>发展方向：</w:t>
            </w:r>
            <w:r>
              <w:rPr>
                <w:rFonts w:hint="eastAsia"/>
                <w:color w:val="auto"/>
                <w:kern w:val="0"/>
                <w:highlight w:val="none"/>
              </w:rPr>
              <w:t>建设农业综合开发试验区，保护耕地，集约开发，加强农业基础设施建设，显著提高农业综合生产能力、产业化水平、物资装备水平、支撑服务能力，提高农业生产效率，大力发展高产、高效、优质、安全的现代化大农业，保障农产品供给，确保国家粮食安全和食品安全；积极推进农业规模化水平，搞好绿色（有机）食品基地建设，发展农产品深加工，加大绿色（有机）食品和无公害农产品开发力度，拓展农村就业和增收空间，加强农村基础设施和公共服务设施建设，改善生产生活条件</w:t>
            </w:r>
            <w:r>
              <w:rPr>
                <w:color w:val="auto"/>
                <w:kern w:val="0"/>
                <w:highlight w:val="none"/>
              </w:rPr>
              <w:t>。</w:t>
            </w:r>
          </w:p>
          <w:p w14:paraId="5FC84FE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kern w:val="0"/>
                <w:highlight w:val="none"/>
              </w:rPr>
            </w:pPr>
            <w:r>
              <w:rPr>
                <w:color w:val="auto"/>
                <w:kern w:val="0"/>
                <w:highlight w:val="none"/>
              </w:rPr>
              <w:t>本项目属于道路交通建设，</w:t>
            </w:r>
            <w:r>
              <w:rPr>
                <w:rFonts w:hint="eastAsia"/>
                <w:color w:val="auto"/>
                <w:kern w:val="0"/>
                <w:highlight w:val="none"/>
              </w:rPr>
              <w:t>与</w:t>
            </w:r>
            <w:r>
              <w:rPr>
                <w:color w:val="auto"/>
                <w:kern w:val="0"/>
                <w:highlight w:val="none"/>
              </w:rPr>
              <w:t>《黑龙江省主体功能区规划》</w:t>
            </w:r>
            <w:r>
              <w:rPr>
                <w:rFonts w:hint="eastAsia"/>
                <w:color w:val="auto"/>
                <w:kern w:val="0"/>
                <w:highlight w:val="none"/>
              </w:rPr>
              <w:t>不冲突</w:t>
            </w:r>
            <w:r>
              <w:rPr>
                <w:color w:val="auto"/>
                <w:kern w:val="0"/>
                <w:highlight w:val="none"/>
              </w:rPr>
              <w:t>。</w:t>
            </w:r>
          </w:p>
          <w:p w14:paraId="3D0B9919">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kern w:val="0"/>
                <w:highlight w:val="none"/>
              </w:rPr>
            </w:pPr>
            <w:r>
              <w:rPr>
                <w:b/>
                <w:color w:val="auto"/>
                <w:kern w:val="0"/>
                <w:highlight w:val="none"/>
              </w:rPr>
              <w:t>2、生态功能区划</w:t>
            </w:r>
          </w:p>
          <w:p w14:paraId="34BF38F8">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根据《黑龙江省生态功能区划》，本项目位于绥化市兰西县，属于《黑龙江省生态功能区划》</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I-5松嫩平原东部农业生态区</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的</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I-5-2松嫩平原东北部农业与土壤保持生态亚区</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的</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I-5-2-2松嫩平原中部农业与土壤保持生态功能区</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主要生态问题为植被覆盖率低；草原三化和水土流失现象严重；土地生产力低。生态环境敏感性为大面积的土地沙漠化敏感性为中度敏感。主要生态服务功能为土壤保持与沙漠化控制、农业生产。保护措施与发展方向为提高水资源的利用率，积极恢复草地生态环境，加大生态农业建设。</w:t>
            </w:r>
          </w:p>
          <w:p w14:paraId="4D7F09C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主要是针对现有公路进行改扩建，主要影响集中在施工期，通过采取环境污染防治措施、水土流失控制措施以及生态恢复措施后，对各环境要素产生的不利影响得到减免；运行期与现状相比生态环境得到改善，不会对生态功能产生影响。因此，本工程建设与《黑龙江省生态功能区划》相符合。</w:t>
            </w:r>
          </w:p>
          <w:p w14:paraId="38316BA2">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kern w:val="0"/>
                <w:highlight w:val="none"/>
              </w:rPr>
            </w:pPr>
            <w:r>
              <w:rPr>
                <w:rFonts w:hint="eastAsia"/>
                <w:b/>
                <w:color w:val="auto"/>
                <w:kern w:val="0"/>
                <w:highlight w:val="none"/>
              </w:rPr>
              <w:t>3</w:t>
            </w:r>
            <w:r>
              <w:rPr>
                <w:b/>
                <w:color w:val="auto"/>
                <w:kern w:val="0"/>
                <w:highlight w:val="none"/>
              </w:rPr>
              <w:t>、生态环境</w:t>
            </w:r>
          </w:p>
          <w:p w14:paraId="083F7BD3">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 xml:space="preserve">）陆地生态现状 </w:t>
            </w:r>
          </w:p>
          <w:p w14:paraId="5E1D87B9">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本项目建设内容、环境污染物排放特征及建设地点等具体情况，对项目沿线的生态环境现状进行了调查，调查主要以收集区域相关生态条件资料和现场踏勘相结合的方法。根据实地调查，沿线植被为农田植被、</w:t>
            </w:r>
            <w:r>
              <w:rPr>
                <w:rFonts w:hint="eastAsia" w:cs="Times New Roman"/>
                <w:color w:val="auto"/>
                <w:sz w:val="24"/>
                <w:szCs w:val="24"/>
                <w:highlight w:val="none"/>
                <w:lang w:val="en-US" w:eastAsia="zh-CN"/>
              </w:rPr>
              <w:t>人工</w:t>
            </w:r>
            <w:r>
              <w:rPr>
                <w:rFonts w:hint="default" w:ascii="Times New Roman" w:hAnsi="Times New Roman" w:eastAsia="宋体" w:cs="Times New Roman"/>
                <w:color w:val="auto"/>
                <w:sz w:val="24"/>
                <w:szCs w:val="24"/>
                <w:highlight w:val="none"/>
                <w:lang w:eastAsia="zh-CN"/>
              </w:rPr>
              <w:t>林地、草甸植被和蒿草等。农田植被主要有玉米、</w:t>
            </w:r>
            <w:r>
              <w:rPr>
                <w:rFonts w:hint="eastAsia" w:cs="Times New Roman"/>
                <w:color w:val="auto"/>
                <w:sz w:val="24"/>
                <w:szCs w:val="24"/>
                <w:highlight w:val="none"/>
                <w:lang w:val="en-US" w:eastAsia="zh-CN"/>
              </w:rPr>
              <w:t>水稻</w:t>
            </w:r>
            <w:r>
              <w:rPr>
                <w:rFonts w:hint="default" w:ascii="Times New Roman" w:hAnsi="Times New Roman" w:eastAsia="宋体" w:cs="Times New Roman"/>
                <w:color w:val="auto"/>
                <w:sz w:val="24"/>
                <w:szCs w:val="24"/>
                <w:highlight w:val="none"/>
                <w:lang w:eastAsia="zh-CN"/>
              </w:rPr>
              <w:t>等农作物；森林植被主要有人工杨树林；草甸植被主要分布在沿岸滩地，有狗尾巴草、猪尾巴草、星星草等。此段野生动物鲜有分布，主要有麻雀、喜鹊等。工程沿线范围内的野生动物主要有家松鼠、麻雀、老鼠、青蛙等，广泛分布于农田与居民集中居住的村屯周围区域中。</w:t>
            </w:r>
          </w:p>
          <w:p w14:paraId="53909448">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地处冲积平原，沿线地势平坦，不涉及泥石流易发区、崩塌滑坡危险区以及易引起严重水土流失和生态恶化的地区。也没有全国水土保持监测网络中的水土保持监测站点、重点试验区，没有占用国家确定的水土保持长期定位观测站。</w:t>
            </w:r>
          </w:p>
          <w:p w14:paraId="7185F60A">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）工程占地</w:t>
            </w:r>
          </w:p>
          <w:p w14:paraId="018496D7">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eastAsia="zh-CN"/>
              </w:rPr>
              <w:t>本工程永久占地类型为</w:t>
            </w:r>
            <w:r>
              <w:rPr>
                <w:rFonts w:hint="eastAsia" w:cs="Times New Roman"/>
                <w:color w:val="auto"/>
                <w:sz w:val="24"/>
                <w:szCs w:val="24"/>
                <w:highlight w:val="none"/>
                <w:lang w:val="en-US" w:eastAsia="zh-CN"/>
              </w:rPr>
              <w:t>公路用地</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占地面积230183m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，未新增占地</w:t>
            </w:r>
            <w:r>
              <w:rPr>
                <w:rFonts w:hint="default" w:ascii="Times New Roman" w:hAnsi="Times New Roman" w:eastAsia="宋体" w:cs="Times New Roman"/>
                <w:color w:val="auto"/>
                <w:sz w:val="24"/>
                <w:szCs w:val="24"/>
                <w:highlight w:val="none"/>
                <w:lang w:eastAsia="zh-CN"/>
              </w:rPr>
              <w:t>。</w:t>
            </w:r>
          </w:p>
          <w:p w14:paraId="100B16A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kern w:val="0"/>
                <w:highlight w:val="none"/>
              </w:rPr>
            </w:pPr>
            <w:r>
              <w:rPr>
                <w:rFonts w:hint="eastAsia"/>
                <w:color w:val="auto"/>
                <w:kern w:val="0"/>
                <w:highlight w:val="none"/>
              </w:rPr>
              <w:t>具体生态环境现状详见生态影响专项评价报告。</w:t>
            </w:r>
          </w:p>
          <w:p w14:paraId="3C78D94E">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kern w:val="0"/>
                <w:highlight w:val="none"/>
              </w:rPr>
            </w:pPr>
            <w:r>
              <w:rPr>
                <w:rFonts w:hint="eastAsia"/>
                <w:b/>
                <w:color w:val="auto"/>
                <w:kern w:val="0"/>
                <w:highlight w:val="none"/>
              </w:rPr>
              <w:t>4、环境空气质量现状</w:t>
            </w:r>
          </w:p>
          <w:p w14:paraId="1E3717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本项目位于绥化市</w:t>
            </w:r>
            <w:r>
              <w:rPr>
                <w:rFonts w:hint="default" w:ascii="Times New Roman" w:hAnsi="Times New Roman" w:cs="Times New Roman"/>
                <w:color w:val="auto"/>
                <w:spacing w:val="12"/>
                <w:sz w:val="24"/>
                <w:szCs w:val="24"/>
                <w:highlight w:val="none"/>
              </w:rPr>
              <w:t>兰西县</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zh-CN"/>
              </w:rPr>
              <w:t>根据</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年绥化市环境质量</w:t>
            </w:r>
            <w:r>
              <w:rPr>
                <w:rFonts w:hint="default" w:ascii="Times New Roman" w:hAnsi="Times New Roman" w:cs="Times New Roman"/>
                <w:color w:val="auto"/>
                <w:sz w:val="24"/>
                <w:szCs w:val="24"/>
                <w:highlight w:val="none"/>
                <w:lang w:val="en-US" w:eastAsia="zh-CN"/>
              </w:rPr>
              <w:t>年报</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，2024年绥化市空气质量级别劣于二级，空气质量综合指数为3.64，同比升高6.4%，PM10年均浓度为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7μg/m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年均浓度为7μg/m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年均浓度为19μg/m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年均浓度为43μg/m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，一氧化碳24小时平均第95百分位数浓度为1.0mg/m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日最大8小时平均第90百分位数浓度为120μg/m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。有效监测天数为366天，达标天数为305天，达标率为83.3%，同比升高0.6个百分点。重度及以上污染天数共17天，同比增加5天，重污染天数比例为4.6%，同比升高1.3个百分点。</w:t>
            </w:r>
          </w:p>
          <w:p w14:paraId="04A8EDF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环境空气质量达标区判定情况见表3-1。</w:t>
            </w:r>
          </w:p>
          <w:p w14:paraId="696D1DB4">
            <w:pPr>
              <w:pStyle w:val="42"/>
              <w:keepNext w:val="0"/>
              <w:keepLines w:val="0"/>
              <w:pageBreakBefore w:val="0"/>
              <w:tabs>
                <w:tab w:val="left" w:pos="3590"/>
                <w:tab w:val="center" w:pos="4605"/>
              </w:tabs>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24"/>
                <w:szCs w:val="24"/>
                <w:highlight w:val="none"/>
              </w:rPr>
            </w:pPr>
            <w:r>
              <w:rPr>
                <w:rFonts w:hint="default" w:eastAsia="宋体"/>
                <w:b/>
                <w:color w:val="auto"/>
                <w:sz w:val="24"/>
                <w:highlight w:val="none"/>
              </w:rPr>
              <w:t>表3-</w:t>
            </w:r>
            <w:r>
              <w:rPr>
                <w:rFonts w:hint="eastAsia" w:eastAsia="宋体"/>
                <w:b/>
                <w:color w:val="auto"/>
                <w:sz w:val="24"/>
                <w:highlight w:val="none"/>
                <w:lang w:val="en-US" w:eastAsia="zh-CN"/>
              </w:rPr>
              <w:t>1</w:t>
            </w:r>
            <w:r>
              <w:rPr>
                <w:rFonts w:hint="default" w:ascii="Times New Roman" w:hAnsi="Times New Roman" w:eastAsia="宋体" w:cs="Times New Roman"/>
                <w:b/>
                <w:color w:val="auto"/>
                <w:sz w:val="24"/>
                <w:szCs w:val="24"/>
                <w:highlight w:val="none"/>
              </w:rPr>
              <w:t>区域空气环境质量现状评价表（单位：μg/m</w:t>
            </w:r>
            <w:r>
              <w:rPr>
                <w:rFonts w:hint="default" w:ascii="Times New Roman" w:hAnsi="Times New Roman" w:eastAsia="宋体" w:cs="Times New Roman"/>
                <w:b/>
                <w:color w:val="auto"/>
                <w:sz w:val="24"/>
                <w:szCs w:val="24"/>
                <w:highlight w:val="none"/>
                <w:vertAlign w:val="superscript"/>
              </w:rPr>
              <w:t>3</w:t>
            </w:r>
            <w:r>
              <w:rPr>
                <w:rFonts w:hint="default" w:ascii="Times New Roman" w:hAnsi="Times New Roman" w:eastAsia="宋体" w:cs="Times New Roman"/>
                <w:b/>
                <w:color w:val="auto"/>
                <w:sz w:val="24"/>
                <w:szCs w:val="24"/>
                <w:highlight w:val="none"/>
              </w:rPr>
              <w:t>）</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61"/>
              <w:gridCol w:w="2336"/>
              <w:gridCol w:w="1023"/>
              <w:gridCol w:w="876"/>
              <w:gridCol w:w="1462"/>
              <w:gridCol w:w="996"/>
            </w:tblGrid>
            <w:tr w14:paraId="6EF98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0" w:type="pct"/>
                  <w:vAlign w:val="center"/>
                </w:tcPr>
                <w:p w14:paraId="519997B4">
                  <w:pPr>
                    <w:pStyle w:val="28"/>
                    <w:adjustRightInd w:val="0"/>
                    <w:snapToGrid w:val="0"/>
                    <w:rPr>
                      <w:rFonts w:hint="default"/>
                      <w:color w:val="auto"/>
                      <w:highlight w:val="none"/>
                    </w:rPr>
                  </w:pPr>
                  <w:r>
                    <w:rPr>
                      <w:rFonts w:hint="default"/>
                      <w:color w:val="auto"/>
                      <w:highlight w:val="none"/>
                    </w:rPr>
                    <w:t>污染物</w:t>
                  </w:r>
                </w:p>
              </w:tc>
              <w:tc>
                <w:tcPr>
                  <w:tcW w:w="1546" w:type="pct"/>
                  <w:vAlign w:val="center"/>
                </w:tcPr>
                <w:p w14:paraId="29A11BCF">
                  <w:pPr>
                    <w:pStyle w:val="28"/>
                    <w:adjustRightInd w:val="0"/>
                    <w:snapToGrid w:val="0"/>
                    <w:rPr>
                      <w:rFonts w:hint="default"/>
                      <w:color w:val="auto"/>
                      <w:highlight w:val="none"/>
                    </w:rPr>
                  </w:pPr>
                  <w:r>
                    <w:rPr>
                      <w:rFonts w:hint="default"/>
                      <w:color w:val="auto"/>
                      <w:highlight w:val="none"/>
                    </w:rPr>
                    <w:t>年评价指标</w:t>
                  </w:r>
                </w:p>
              </w:tc>
              <w:tc>
                <w:tcPr>
                  <w:tcW w:w="677" w:type="pct"/>
                  <w:vAlign w:val="center"/>
                </w:tcPr>
                <w:p w14:paraId="6854C121">
                  <w:pPr>
                    <w:pStyle w:val="28"/>
                    <w:adjustRightInd w:val="0"/>
                    <w:snapToGrid w:val="0"/>
                    <w:rPr>
                      <w:rFonts w:hint="default"/>
                      <w:color w:val="auto"/>
                      <w:highlight w:val="none"/>
                    </w:rPr>
                  </w:pPr>
                  <w:r>
                    <w:rPr>
                      <w:rFonts w:hint="default"/>
                      <w:color w:val="auto"/>
                      <w:highlight w:val="none"/>
                    </w:rPr>
                    <w:t>现状浓度</w:t>
                  </w:r>
                </w:p>
              </w:tc>
              <w:tc>
                <w:tcPr>
                  <w:tcW w:w="580" w:type="pct"/>
                  <w:vAlign w:val="center"/>
                </w:tcPr>
                <w:p w14:paraId="0E957530">
                  <w:pPr>
                    <w:pStyle w:val="28"/>
                    <w:adjustRightInd w:val="0"/>
                    <w:snapToGrid w:val="0"/>
                    <w:rPr>
                      <w:rFonts w:hint="default"/>
                      <w:color w:val="auto"/>
                      <w:highlight w:val="none"/>
                    </w:rPr>
                  </w:pPr>
                  <w:r>
                    <w:rPr>
                      <w:rFonts w:hint="default"/>
                      <w:color w:val="auto"/>
                      <w:highlight w:val="none"/>
                    </w:rPr>
                    <w:t>标准值</w:t>
                  </w:r>
                </w:p>
              </w:tc>
              <w:tc>
                <w:tcPr>
                  <w:tcW w:w="968" w:type="pct"/>
                  <w:vAlign w:val="center"/>
                </w:tcPr>
                <w:p w14:paraId="74DEBFE6">
                  <w:pPr>
                    <w:pStyle w:val="28"/>
                    <w:adjustRightInd w:val="0"/>
                    <w:snapToGrid w:val="0"/>
                    <w:rPr>
                      <w:rFonts w:hint="default"/>
                      <w:color w:val="auto"/>
                      <w:highlight w:val="none"/>
                    </w:rPr>
                  </w:pPr>
                  <w:r>
                    <w:rPr>
                      <w:rFonts w:hint="default"/>
                      <w:color w:val="auto"/>
                      <w:highlight w:val="none"/>
                    </w:rPr>
                    <w:t>占标率（%）</w:t>
                  </w:r>
                </w:p>
              </w:tc>
              <w:tc>
                <w:tcPr>
                  <w:tcW w:w="659" w:type="pct"/>
                  <w:vAlign w:val="center"/>
                </w:tcPr>
                <w:p w14:paraId="3DE983E9">
                  <w:pPr>
                    <w:pStyle w:val="28"/>
                    <w:adjustRightInd w:val="0"/>
                    <w:snapToGrid w:val="0"/>
                    <w:rPr>
                      <w:rFonts w:hint="default"/>
                      <w:color w:val="auto"/>
                      <w:highlight w:val="none"/>
                    </w:rPr>
                  </w:pPr>
                  <w:r>
                    <w:rPr>
                      <w:rFonts w:hint="default"/>
                      <w:color w:val="auto"/>
                      <w:spacing w:val="-6"/>
                      <w:highlight w:val="none"/>
                    </w:rPr>
                    <w:t>达标情况</w:t>
                  </w:r>
                </w:p>
              </w:tc>
            </w:tr>
            <w:tr w14:paraId="10A85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0" w:type="pct"/>
                  <w:vAlign w:val="center"/>
                </w:tcPr>
                <w:p w14:paraId="098B67C7">
                  <w:pPr>
                    <w:pStyle w:val="28"/>
                    <w:adjustRightInd w:val="0"/>
                    <w:snapToGrid w:val="0"/>
                    <w:rPr>
                      <w:rFonts w:hint="default"/>
                      <w:color w:val="auto"/>
                      <w:highlight w:val="none"/>
                    </w:rPr>
                  </w:pPr>
                  <w:r>
                    <w:rPr>
                      <w:rFonts w:hint="default"/>
                      <w:color w:val="auto"/>
                      <w:highlight w:val="none"/>
                    </w:rPr>
                    <w:t>SO</w:t>
                  </w:r>
                  <w:r>
                    <w:rPr>
                      <w:rFonts w:hint="default"/>
                      <w:color w:val="auto"/>
                      <w:highlight w:val="none"/>
                      <w:vertAlign w:val="subscript"/>
                    </w:rPr>
                    <w:t>2</w:t>
                  </w:r>
                </w:p>
              </w:tc>
              <w:tc>
                <w:tcPr>
                  <w:tcW w:w="1546" w:type="pct"/>
                  <w:vAlign w:val="center"/>
                </w:tcPr>
                <w:p w14:paraId="481F9D16">
                  <w:pPr>
                    <w:pStyle w:val="28"/>
                    <w:adjustRightInd w:val="0"/>
                    <w:snapToGrid w:val="0"/>
                    <w:rPr>
                      <w:rFonts w:hint="default"/>
                      <w:color w:val="auto"/>
                      <w:highlight w:val="none"/>
                    </w:rPr>
                  </w:pPr>
                  <w:r>
                    <w:rPr>
                      <w:rFonts w:hint="default"/>
                      <w:color w:val="auto"/>
                      <w:highlight w:val="none"/>
                    </w:rPr>
                    <w:t>年平均质量浓度</w:t>
                  </w:r>
                </w:p>
              </w:tc>
              <w:tc>
                <w:tcPr>
                  <w:tcW w:w="677" w:type="pct"/>
                  <w:vAlign w:val="center"/>
                </w:tcPr>
                <w:p w14:paraId="0AD75607">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7</w:t>
                  </w:r>
                </w:p>
              </w:tc>
              <w:tc>
                <w:tcPr>
                  <w:tcW w:w="580" w:type="pct"/>
                  <w:vAlign w:val="center"/>
                </w:tcPr>
                <w:p w14:paraId="1A60867D">
                  <w:pPr>
                    <w:pStyle w:val="28"/>
                    <w:adjustRightInd w:val="0"/>
                    <w:snapToGrid w:val="0"/>
                    <w:rPr>
                      <w:rFonts w:hint="default"/>
                      <w:color w:val="auto"/>
                      <w:highlight w:val="none"/>
                    </w:rPr>
                  </w:pPr>
                  <w:r>
                    <w:rPr>
                      <w:rFonts w:hint="default"/>
                      <w:color w:val="auto"/>
                      <w:highlight w:val="none"/>
                    </w:rPr>
                    <w:t>60</w:t>
                  </w:r>
                </w:p>
              </w:tc>
              <w:tc>
                <w:tcPr>
                  <w:tcW w:w="968" w:type="pct"/>
                  <w:vAlign w:val="center"/>
                </w:tcPr>
                <w:p w14:paraId="39D08143">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11.67</w:t>
                  </w:r>
                </w:p>
              </w:tc>
              <w:tc>
                <w:tcPr>
                  <w:tcW w:w="659" w:type="pct"/>
                  <w:vAlign w:val="center"/>
                </w:tcPr>
                <w:p w14:paraId="7CCF8992">
                  <w:pPr>
                    <w:pStyle w:val="28"/>
                    <w:adjustRightInd w:val="0"/>
                    <w:snapToGrid w:val="0"/>
                    <w:rPr>
                      <w:rFonts w:hint="default"/>
                      <w:color w:val="auto"/>
                      <w:highlight w:val="none"/>
                    </w:rPr>
                  </w:pPr>
                  <w:r>
                    <w:rPr>
                      <w:rFonts w:hint="default"/>
                      <w:color w:val="auto"/>
                      <w:highlight w:val="none"/>
                    </w:rPr>
                    <w:t>达标</w:t>
                  </w:r>
                </w:p>
              </w:tc>
            </w:tr>
            <w:tr w14:paraId="2BEB2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3" w:hRule="atLeast"/>
                <w:jc w:val="center"/>
              </w:trPr>
              <w:tc>
                <w:tcPr>
                  <w:tcW w:w="570" w:type="pct"/>
                  <w:vAlign w:val="center"/>
                </w:tcPr>
                <w:p w14:paraId="2DEEC454">
                  <w:pPr>
                    <w:pStyle w:val="28"/>
                    <w:adjustRightInd w:val="0"/>
                    <w:snapToGrid w:val="0"/>
                    <w:rPr>
                      <w:rFonts w:hint="default"/>
                      <w:color w:val="auto"/>
                      <w:highlight w:val="none"/>
                    </w:rPr>
                  </w:pPr>
                  <w:r>
                    <w:rPr>
                      <w:rFonts w:hint="default"/>
                      <w:color w:val="auto"/>
                      <w:highlight w:val="none"/>
                    </w:rPr>
                    <w:t>NO</w:t>
                  </w:r>
                  <w:r>
                    <w:rPr>
                      <w:rFonts w:hint="default"/>
                      <w:color w:val="auto"/>
                      <w:highlight w:val="none"/>
                      <w:vertAlign w:val="subscript"/>
                    </w:rPr>
                    <w:t>2</w:t>
                  </w:r>
                </w:p>
              </w:tc>
              <w:tc>
                <w:tcPr>
                  <w:tcW w:w="1546" w:type="pct"/>
                  <w:vAlign w:val="center"/>
                </w:tcPr>
                <w:p w14:paraId="25AAB00B">
                  <w:pPr>
                    <w:pStyle w:val="28"/>
                    <w:adjustRightInd w:val="0"/>
                    <w:snapToGrid w:val="0"/>
                    <w:rPr>
                      <w:rFonts w:hint="default"/>
                      <w:color w:val="auto"/>
                      <w:highlight w:val="none"/>
                    </w:rPr>
                  </w:pPr>
                  <w:r>
                    <w:rPr>
                      <w:rFonts w:hint="default"/>
                      <w:color w:val="auto"/>
                      <w:highlight w:val="none"/>
                    </w:rPr>
                    <w:t>年平均质量浓度</w:t>
                  </w:r>
                </w:p>
              </w:tc>
              <w:tc>
                <w:tcPr>
                  <w:tcW w:w="677" w:type="pct"/>
                  <w:vAlign w:val="center"/>
                </w:tcPr>
                <w:p w14:paraId="77407B06">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19</w:t>
                  </w:r>
                </w:p>
              </w:tc>
              <w:tc>
                <w:tcPr>
                  <w:tcW w:w="580" w:type="pct"/>
                  <w:vAlign w:val="center"/>
                </w:tcPr>
                <w:p w14:paraId="1EBADBB0">
                  <w:pPr>
                    <w:pStyle w:val="28"/>
                    <w:adjustRightInd w:val="0"/>
                    <w:snapToGrid w:val="0"/>
                    <w:rPr>
                      <w:rFonts w:hint="default"/>
                      <w:color w:val="auto"/>
                      <w:highlight w:val="none"/>
                    </w:rPr>
                  </w:pPr>
                  <w:r>
                    <w:rPr>
                      <w:rFonts w:hint="default"/>
                      <w:color w:val="auto"/>
                      <w:highlight w:val="none"/>
                    </w:rPr>
                    <w:t>40</w:t>
                  </w:r>
                </w:p>
              </w:tc>
              <w:tc>
                <w:tcPr>
                  <w:tcW w:w="968" w:type="pct"/>
                  <w:vAlign w:val="center"/>
                </w:tcPr>
                <w:p w14:paraId="4BE78D34">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47.5</w:t>
                  </w:r>
                </w:p>
              </w:tc>
              <w:tc>
                <w:tcPr>
                  <w:tcW w:w="659" w:type="pct"/>
                  <w:vAlign w:val="center"/>
                </w:tcPr>
                <w:p w14:paraId="7030E6F5">
                  <w:pPr>
                    <w:pStyle w:val="28"/>
                    <w:adjustRightInd w:val="0"/>
                    <w:snapToGrid w:val="0"/>
                    <w:rPr>
                      <w:rFonts w:hint="default"/>
                      <w:color w:val="auto"/>
                      <w:highlight w:val="none"/>
                    </w:rPr>
                  </w:pPr>
                  <w:r>
                    <w:rPr>
                      <w:rFonts w:hint="default"/>
                      <w:color w:val="auto"/>
                      <w:highlight w:val="none"/>
                    </w:rPr>
                    <w:t>达标</w:t>
                  </w:r>
                </w:p>
              </w:tc>
            </w:tr>
            <w:tr w14:paraId="09338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0" w:type="pct"/>
                  <w:vAlign w:val="center"/>
                </w:tcPr>
                <w:p w14:paraId="2C75B8B1">
                  <w:pPr>
                    <w:pStyle w:val="28"/>
                    <w:adjustRightInd w:val="0"/>
                    <w:snapToGrid w:val="0"/>
                    <w:rPr>
                      <w:rFonts w:hint="default"/>
                      <w:color w:val="auto"/>
                      <w:highlight w:val="none"/>
                    </w:rPr>
                  </w:pPr>
                  <w:r>
                    <w:rPr>
                      <w:rFonts w:hint="default"/>
                      <w:color w:val="auto"/>
                      <w:highlight w:val="none"/>
                    </w:rPr>
                    <w:t>PM</w:t>
                  </w:r>
                  <w:r>
                    <w:rPr>
                      <w:rFonts w:hint="default"/>
                      <w:color w:val="auto"/>
                      <w:highlight w:val="none"/>
                      <w:vertAlign w:val="subscript"/>
                    </w:rPr>
                    <w:t>10</w:t>
                  </w:r>
                </w:p>
              </w:tc>
              <w:tc>
                <w:tcPr>
                  <w:tcW w:w="1546" w:type="pct"/>
                  <w:vAlign w:val="center"/>
                </w:tcPr>
                <w:p w14:paraId="31349F67">
                  <w:pPr>
                    <w:pStyle w:val="28"/>
                    <w:adjustRightInd w:val="0"/>
                    <w:snapToGrid w:val="0"/>
                    <w:rPr>
                      <w:rFonts w:hint="default"/>
                      <w:color w:val="auto"/>
                      <w:highlight w:val="none"/>
                    </w:rPr>
                  </w:pPr>
                  <w:r>
                    <w:rPr>
                      <w:rFonts w:hint="default"/>
                      <w:color w:val="auto"/>
                      <w:highlight w:val="none"/>
                    </w:rPr>
                    <w:t>年平均质量浓度</w:t>
                  </w:r>
                </w:p>
              </w:tc>
              <w:tc>
                <w:tcPr>
                  <w:tcW w:w="677" w:type="pct"/>
                  <w:vAlign w:val="center"/>
                </w:tcPr>
                <w:p w14:paraId="54D3D80B">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57</w:t>
                  </w:r>
                </w:p>
              </w:tc>
              <w:tc>
                <w:tcPr>
                  <w:tcW w:w="580" w:type="pct"/>
                  <w:vAlign w:val="center"/>
                </w:tcPr>
                <w:p w14:paraId="0FDC6478">
                  <w:pPr>
                    <w:pStyle w:val="28"/>
                    <w:adjustRightInd w:val="0"/>
                    <w:snapToGrid w:val="0"/>
                    <w:rPr>
                      <w:rFonts w:hint="default"/>
                      <w:color w:val="auto"/>
                      <w:highlight w:val="none"/>
                    </w:rPr>
                  </w:pPr>
                  <w:r>
                    <w:rPr>
                      <w:rFonts w:hint="default"/>
                      <w:color w:val="auto"/>
                      <w:highlight w:val="none"/>
                    </w:rPr>
                    <w:t>70</w:t>
                  </w:r>
                </w:p>
              </w:tc>
              <w:tc>
                <w:tcPr>
                  <w:tcW w:w="968" w:type="pct"/>
                  <w:vAlign w:val="center"/>
                </w:tcPr>
                <w:p w14:paraId="556AFFC8">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81.43</w:t>
                  </w:r>
                </w:p>
              </w:tc>
              <w:tc>
                <w:tcPr>
                  <w:tcW w:w="659" w:type="pct"/>
                  <w:vAlign w:val="center"/>
                </w:tcPr>
                <w:p w14:paraId="1134D0BC">
                  <w:pPr>
                    <w:pStyle w:val="28"/>
                    <w:adjustRightInd w:val="0"/>
                    <w:snapToGrid w:val="0"/>
                    <w:rPr>
                      <w:rFonts w:hint="default"/>
                      <w:color w:val="auto"/>
                      <w:highlight w:val="none"/>
                    </w:rPr>
                  </w:pPr>
                  <w:r>
                    <w:rPr>
                      <w:rFonts w:hint="default"/>
                      <w:color w:val="auto"/>
                      <w:highlight w:val="none"/>
                    </w:rPr>
                    <w:t>达标</w:t>
                  </w:r>
                </w:p>
              </w:tc>
            </w:tr>
            <w:tr w14:paraId="3963C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0" w:type="pct"/>
                  <w:vAlign w:val="center"/>
                </w:tcPr>
                <w:p w14:paraId="21CF1AA1">
                  <w:pPr>
                    <w:pStyle w:val="28"/>
                    <w:adjustRightInd w:val="0"/>
                    <w:snapToGrid w:val="0"/>
                    <w:rPr>
                      <w:rFonts w:hint="default"/>
                      <w:color w:val="auto"/>
                      <w:highlight w:val="none"/>
                    </w:rPr>
                  </w:pPr>
                  <w:r>
                    <w:rPr>
                      <w:rFonts w:hint="default"/>
                      <w:color w:val="auto"/>
                      <w:highlight w:val="none"/>
                    </w:rPr>
                    <w:t>PM</w:t>
                  </w:r>
                  <w:r>
                    <w:rPr>
                      <w:rFonts w:hint="default"/>
                      <w:color w:val="auto"/>
                      <w:highlight w:val="none"/>
                      <w:vertAlign w:val="subscript"/>
                    </w:rPr>
                    <w:t>2.5</w:t>
                  </w:r>
                </w:p>
              </w:tc>
              <w:tc>
                <w:tcPr>
                  <w:tcW w:w="1546" w:type="pct"/>
                  <w:vAlign w:val="center"/>
                </w:tcPr>
                <w:p w14:paraId="1E901C99">
                  <w:pPr>
                    <w:pStyle w:val="28"/>
                    <w:adjustRightInd w:val="0"/>
                    <w:snapToGrid w:val="0"/>
                    <w:rPr>
                      <w:rFonts w:hint="default"/>
                      <w:color w:val="auto"/>
                      <w:highlight w:val="none"/>
                    </w:rPr>
                  </w:pPr>
                  <w:r>
                    <w:rPr>
                      <w:rFonts w:hint="default"/>
                      <w:color w:val="auto"/>
                      <w:highlight w:val="none"/>
                    </w:rPr>
                    <w:t>年平均质量浓度</w:t>
                  </w:r>
                </w:p>
              </w:tc>
              <w:tc>
                <w:tcPr>
                  <w:tcW w:w="677" w:type="pct"/>
                  <w:vAlign w:val="center"/>
                </w:tcPr>
                <w:p w14:paraId="5F7E6956">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43</w:t>
                  </w:r>
                </w:p>
              </w:tc>
              <w:tc>
                <w:tcPr>
                  <w:tcW w:w="580" w:type="pct"/>
                  <w:vAlign w:val="center"/>
                </w:tcPr>
                <w:p w14:paraId="7C710853">
                  <w:pPr>
                    <w:pStyle w:val="28"/>
                    <w:adjustRightInd w:val="0"/>
                    <w:snapToGrid w:val="0"/>
                    <w:rPr>
                      <w:rFonts w:hint="default"/>
                      <w:color w:val="auto"/>
                      <w:highlight w:val="none"/>
                    </w:rPr>
                  </w:pPr>
                  <w:r>
                    <w:rPr>
                      <w:rFonts w:hint="default"/>
                      <w:color w:val="auto"/>
                      <w:highlight w:val="none"/>
                    </w:rPr>
                    <w:t>35</w:t>
                  </w:r>
                </w:p>
              </w:tc>
              <w:tc>
                <w:tcPr>
                  <w:tcW w:w="968" w:type="pct"/>
                  <w:vAlign w:val="center"/>
                </w:tcPr>
                <w:p w14:paraId="242A608E">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122.86</w:t>
                  </w:r>
                </w:p>
              </w:tc>
              <w:tc>
                <w:tcPr>
                  <w:tcW w:w="659" w:type="pct"/>
                  <w:vAlign w:val="center"/>
                </w:tcPr>
                <w:p w14:paraId="39717EB9">
                  <w:pPr>
                    <w:pStyle w:val="28"/>
                    <w:adjustRightInd w:val="0"/>
                    <w:snapToGrid w:val="0"/>
                    <w:rPr>
                      <w:rFonts w:hint="default"/>
                      <w:b/>
                      <w:bCs/>
                      <w:color w:val="auto"/>
                      <w:highlight w:val="none"/>
                    </w:rPr>
                  </w:pPr>
                  <w:r>
                    <w:rPr>
                      <w:rFonts w:hint="default"/>
                      <w:b/>
                      <w:bCs/>
                      <w:color w:val="auto"/>
                      <w:highlight w:val="none"/>
                    </w:rPr>
                    <w:t>不达标</w:t>
                  </w:r>
                </w:p>
              </w:tc>
            </w:tr>
            <w:tr w14:paraId="4C0D0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0" w:type="pct"/>
                  <w:vAlign w:val="center"/>
                </w:tcPr>
                <w:p w14:paraId="192EBDED">
                  <w:pPr>
                    <w:pStyle w:val="28"/>
                    <w:adjustRightInd w:val="0"/>
                    <w:snapToGrid w:val="0"/>
                    <w:rPr>
                      <w:rFonts w:hint="default"/>
                      <w:color w:val="auto"/>
                      <w:highlight w:val="none"/>
                    </w:rPr>
                  </w:pPr>
                  <w:r>
                    <w:rPr>
                      <w:rFonts w:hint="default"/>
                      <w:color w:val="auto"/>
                      <w:highlight w:val="none"/>
                    </w:rPr>
                    <w:t>CO</w:t>
                  </w:r>
                </w:p>
              </w:tc>
              <w:tc>
                <w:tcPr>
                  <w:tcW w:w="1546" w:type="pct"/>
                  <w:vAlign w:val="center"/>
                </w:tcPr>
                <w:p w14:paraId="007F2287">
                  <w:pPr>
                    <w:pStyle w:val="28"/>
                    <w:adjustRightInd w:val="0"/>
                    <w:snapToGrid w:val="0"/>
                    <w:rPr>
                      <w:rFonts w:hint="default"/>
                      <w:color w:val="auto"/>
                      <w:highlight w:val="none"/>
                    </w:rPr>
                  </w:pPr>
                  <w:r>
                    <w:rPr>
                      <w:rFonts w:hint="default"/>
                      <w:color w:val="auto"/>
                      <w:highlight w:val="none"/>
                    </w:rPr>
                    <w:t>第95百分位数24小时平均浓度值</w:t>
                  </w:r>
                </w:p>
              </w:tc>
              <w:tc>
                <w:tcPr>
                  <w:tcW w:w="677" w:type="pct"/>
                  <w:vAlign w:val="center"/>
                </w:tcPr>
                <w:p w14:paraId="3BDB2ABA">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1000</w:t>
                  </w:r>
                </w:p>
              </w:tc>
              <w:tc>
                <w:tcPr>
                  <w:tcW w:w="580" w:type="pct"/>
                  <w:vAlign w:val="center"/>
                </w:tcPr>
                <w:p w14:paraId="793B0A0D">
                  <w:pPr>
                    <w:pStyle w:val="28"/>
                    <w:adjustRightInd w:val="0"/>
                    <w:snapToGrid w:val="0"/>
                    <w:rPr>
                      <w:rFonts w:hint="default"/>
                      <w:color w:val="auto"/>
                      <w:highlight w:val="none"/>
                    </w:rPr>
                  </w:pPr>
                  <w:r>
                    <w:rPr>
                      <w:rFonts w:hint="default"/>
                      <w:color w:val="auto"/>
                      <w:highlight w:val="none"/>
                    </w:rPr>
                    <w:t>4000</w:t>
                  </w:r>
                </w:p>
              </w:tc>
              <w:tc>
                <w:tcPr>
                  <w:tcW w:w="968" w:type="pct"/>
                  <w:vAlign w:val="center"/>
                </w:tcPr>
                <w:p w14:paraId="65042EDC">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25</w:t>
                  </w:r>
                </w:p>
              </w:tc>
              <w:tc>
                <w:tcPr>
                  <w:tcW w:w="659" w:type="pct"/>
                  <w:vAlign w:val="center"/>
                </w:tcPr>
                <w:p w14:paraId="28F5C39D">
                  <w:pPr>
                    <w:pStyle w:val="28"/>
                    <w:adjustRightInd w:val="0"/>
                    <w:snapToGrid w:val="0"/>
                    <w:rPr>
                      <w:rFonts w:hint="default"/>
                      <w:color w:val="auto"/>
                      <w:highlight w:val="none"/>
                    </w:rPr>
                  </w:pPr>
                  <w:r>
                    <w:rPr>
                      <w:rFonts w:hint="default"/>
                      <w:color w:val="auto"/>
                      <w:highlight w:val="none"/>
                    </w:rPr>
                    <w:t>达标</w:t>
                  </w:r>
                </w:p>
              </w:tc>
            </w:tr>
            <w:tr w14:paraId="0AB7E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0" w:type="pct"/>
                  <w:vAlign w:val="center"/>
                </w:tcPr>
                <w:p w14:paraId="6C56F396">
                  <w:pPr>
                    <w:pStyle w:val="28"/>
                    <w:adjustRightInd w:val="0"/>
                    <w:snapToGrid w:val="0"/>
                    <w:rPr>
                      <w:rFonts w:hint="default"/>
                      <w:color w:val="auto"/>
                      <w:highlight w:val="none"/>
                    </w:rPr>
                  </w:pPr>
                  <w:r>
                    <w:rPr>
                      <w:rFonts w:hint="default"/>
                      <w:color w:val="auto"/>
                      <w:highlight w:val="none"/>
                    </w:rPr>
                    <w:t>O</w:t>
                  </w:r>
                  <w:r>
                    <w:rPr>
                      <w:rFonts w:hint="default"/>
                      <w:color w:val="auto"/>
                      <w:highlight w:val="none"/>
                      <w:vertAlign w:val="subscript"/>
                    </w:rPr>
                    <w:t>3</w:t>
                  </w:r>
                </w:p>
              </w:tc>
              <w:tc>
                <w:tcPr>
                  <w:tcW w:w="1546" w:type="pct"/>
                  <w:vAlign w:val="center"/>
                </w:tcPr>
                <w:p w14:paraId="4FD00928">
                  <w:pPr>
                    <w:pStyle w:val="28"/>
                    <w:adjustRightInd w:val="0"/>
                    <w:snapToGrid w:val="0"/>
                    <w:rPr>
                      <w:rFonts w:hint="default"/>
                      <w:color w:val="auto"/>
                      <w:highlight w:val="none"/>
                    </w:rPr>
                  </w:pPr>
                  <w:r>
                    <w:rPr>
                      <w:rFonts w:hint="default"/>
                      <w:color w:val="auto"/>
                      <w:highlight w:val="none"/>
                    </w:rPr>
                    <w:t>第90百分位数日最大8小时平均浓度值</w:t>
                  </w:r>
                </w:p>
              </w:tc>
              <w:tc>
                <w:tcPr>
                  <w:tcW w:w="677" w:type="pct"/>
                  <w:vAlign w:val="center"/>
                </w:tcPr>
                <w:p w14:paraId="3528864D">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120</w:t>
                  </w:r>
                </w:p>
              </w:tc>
              <w:tc>
                <w:tcPr>
                  <w:tcW w:w="580" w:type="pct"/>
                  <w:vAlign w:val="center"/>
                </w:tcPr>
                <w:p w14:paraId="6E288006">
                  <w:pPr>
                    <w:pStyle w:val="28"/>
                    <w:adjustRightInd w:val="0"/>
                    <w:snapToGrid w:val="0"/>
                    <w:rPr>
                      <w:rFonts w:hint="default"/>
                      <w:color w:val="auto"/>
                      <w:highlight w:val="none"/>
                    </w:rPr>
                  </w:pPr>
                  <w:r>
                    <w:rPr>
                      <w:rFonts w:hint="default"/>
                      <w:color w:val="auto"/>
                      <w:highlight w:val="none"/>
                    </w:rPr>
                    <w:t>160</w:t>
                  </w:r>
                </w:p>
              </w:tc>
              <w:tc>
                <w:tcPr>
                  <w:tcW w:w="968" w:type="pct"/>
                  <w:vAlign w:val="center"/>
                </w:tcPr>
                <w:p w14:paraId="32E5960A">
                  <w:pPr>
                    <w:pStyle w:val="28"/>
                    <w:adjustRightInd w:val="0"/>
                    <w:snapToGrid w:val="0"/>
                    <w:rPr>
                      <w:rFonts w:hint="default" w:eastAsia="宋体"/>
                      <w:color w:val="auto"/>
                      <w:highlight w:val="none"/>
                      <w:lang w:val="en-US" w:eastAsia="zh-CN"/>
                    </w:rPr>
                  </w:pPr>
                  <w:r>
                    <w:rPr>
                      <w:rFonts w:hint="eastAsia"/>
                      <w:color w:val="auto"/>
                      <w:highlight w:val="none"/>
                      <w:lang w:val="en-US" w:eastAsia="zh-CN"/>
                    </w:rPr>
                    <w:t>75</w:t>
                  </w:r>
                </w:p>
              </w:tc>
              <w:tc>
                <w:tcPr>
                  <w:tcW w:w="659" w:type="pct"/>
                  <w:vAlign w:val="center"/>
                </w:tcPr>
                <w:p w14:paraId="43347B93">
                  <w:pPr>
                    <w:pStyle w:val="28"/>
                    <w:adjustRightInd w:val="0"/>
                    <w:snapToGrid w:val="0"/>
                    <w:rPr>
                      <w:rFonts w:hint="default"/>
                      <w:color w:val="auto"/>
                      <w:highlight w:val="none"/>
                    </w:rPr>
                  </w:pPr>
                  <w:r>
                    <w:rPr>
                      <w:rFonts w:hint="default"/>
                      <w:color w:val="auto"/>
                      <w:highlight w:val="none"/>
                    </w:rPr>
                    <w:t>达标</w:t>
                  </w:r>
                </w:p>
              </w:tc>
            </w:tr>
          </w:tbl>
          <w:p w14:paraId="4063950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kern w:val="0"/>
                <w:highlight w:val="none"/>
              </w:rPr>
            </w:pPr>
            <w:r>
              <w:rPr>
                <w:color w:val="auto"/>
                <w:kern w:val="0"/>
                <w:highlight w:val="none"/>
              </w:rPr>
              <w:t>由表3-</w:t>
            </w:r>
            <w:r>
              <w:rPr>
                <w:rFonts w:hint="eastAsia"/>
                <w:color w:val="auto"/>
                <w:kern w:val="0"/>
                <w:highlight w:val="none"/>
                <w:lang w:val="en-US" w:eastAsia="zh-CN"/>
              </w:rPr>
              <w:t>1</w:t>
            </w:r>
            <w:r>
              <w:rPr>
                <w:color w:val="auto"/>
                <w:kern w:val="0"/>
                <w:highlight w:val="none"/>
              </w:rPr>
              <w:t>可知，项目所在区域属于环境空气质量不达标区域</w:t>
            </w:r>
            <w:r>
              <w:rPr>
                <w:rFonts w:hint="eastAsia"/>
                <w:color w:val="auto"/>
                <w:kern w:val="0"/>
                <w:highlight w:val="none"/>
              </w:rPr>
              <w:t>，</w:t>
            </w:r>
            <w:r>
              <w:rPr>
                <w:color w:val="auto"/>
                <w:kern w:val="0"/>
                <w:highlight w:val="none"/>
              </w:rPr>
              <w:t>区域主要污染因子为PM</w:t>
            </w:r>
            <w:r>
              <w:rPr>
                <w:color w:val="auto"/>
                <w:kern w:val="0"/>
                <w:highlight w:val="none"/>
                <w:vertAlign w:val="subscript"/>
              </w:rPr>
              <w:t>2.5</w:t>
            </w:r>
            <w:r>
              <w:rPr>
                <w:rFonts w:hint="eastAsia"/>
                <w:color w:val="auto"/>
                <w:kern w:val="0"/>
                <w:highlight w:val="none"/>
              </w:rPr>
              <w:t>，</w:t>
            </w:r>
            <w:r>
              <w:rPr>
                <w:color w:val="auto"/>
                <w:kern w:val="0"/>
                <w:highlight w:val="none"/>
              </w:rPr>
              <w:t>超标原因</w:t>
            </w:r>
            <w:r>
              <w:rPr>
                <w:rFonts w:hint="eastAsia"/>
                <w:color w:val="auto"/>
                <w:kern w:val="0"/>
                <w:highlight w:val="none"/>
              </w:rPr>
              <w:t>依然为供暖期污染排放量较大与不利的气象因素叠加导致，偶有秸秆焚烧和沙尘影响。</w:t>
            </w:r>
          </w:p>
          <w:p w14:paraId="3633F35F">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kern w:val="0"/>
                <w:highlight w:val="none"/>
              </w:rPr>
            </w:pPr>
            <w:r>
              <w:rPr>
                <w:b/>
                <w:color w:val="auto"/>
                <w:kern w:val="0"/>
                <w:highlight w:val="none"/>
              </w:rPr>
              <w:t>5、地表水环境质量现状</w:t>
            </w:r>
          </w:p>
          <w:p w14:paraId="54A2F4FE">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本项目未跨越</w:t>
            </w:r>
            <w:r>
              <w:rPr>
                <w:rFonts w:hint="eastAsia" w:cs="Times New Roman"/>
                <w:color w:val="auto"/>
                <w:sz w:val="24"/>
                <w:szCs w:val="24"/>
                <w:highlight w:val="none"/>
                <w:lang w:val="en-US" w:eastAsia="zh-CN"/>
              </w:rPr>
              <w:t>地表</w:t>
            </w:r>
            <w:r>
              <w:rPr>
                <w:rFonts w:hint="default" w:ascii="Times New Roman" w:hAnsi="Times New Roman" w:cs="Times New Roman"/>
                <w:color w:val="auto"/>
                <w:sz w:val="24"/>
                <w:szCs w:val="24"/>
                <w:highlight w:val="none"/>
                <w:lang w:eastAsia="zh-CN"/>
              </w:rPr>
              <w:t>河流，</w:t>
            </w:r>
            <w:r>
              <w:rPr>
                <w:rFonts w:hint="default" w:ascii="Times New Roman" w:hAnsi="Times New Roman" w:eastAsia="宋体" w:cs="Times New Roman"/>
                <w:color w:val="auto"/>
                <w:sz w:val="24"/>
                <w:szCs w:val="24"/>
                <w:highlight w:val="none"/>
              </w:rPr>
              <w:t>本项目所在区域地表水为呼兰河，本项目所在区间为金河村-富强村断面，根据《全国重要江河湖泊水功能区划（2011-2030年）》，该段水体规划类别为Ⅲ~Ⅳ类，本项目执行《地表水环境质量标准》（GB3838-2002）中Ⅳ类水体。根据《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年绥化市环境质量年报》，呼兰河金河村-富强村河段有榆林镇鞍山桥断面，该断面为国控断面，该断面202</w:t>
            </w:r>
            <w:r>
              <w:rPr>
                <w:rFonts w:hint="eastAsia" w:cs="Times New Roman"/>
                <w:color w:val="auto"/>
                <w:sz w:val="24"/>
                <w:szCs w:val="24"/>
                <w:highlight w:val="none"/>
                <w:lang w:val="en-US" w:eastAsia="zh-CN"/>
              </w:rPr>
              <w:t>4年</w:t>
            </w:r>
            <w:r>
              <w:rPr>
                <w:rFonts w:hint="default" w:ascii="Times New Roman" w:hAnsi="Times New Roman" w:eastAsia="宋体" w:cs="Times New Roman"/>
                <w:color w:val="auto"/>
                <w:sz w:val="24"/>
                <w:szCs w:val="24"/>
                <w:highlight w:val="none"/>
              </w:rPr>
              <w:t>水质类别为</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3 \* ROMAN \* MERGEFORMAT </w:instrText>
            </w:r>
            <w:r>
              <w:rPr>
                <w:rFonts w:hint="default" w:ascii="Times New Roman" w:hAnsi="Times New Roman" w:eastAsia="宋体" w:cs="Times New Roman"/>
                <w:color w:val="auto"/>
                <w:sz w:val="24"/>
                <w:szCs w:val="24"/>
                <w:highlight w:val="none"/>
              </w:rPr>
              <w:fldChar w:fldCharType="separate"/>
            </w:r>
            <w:r>
              <w:rPr>
                <w:color w:val="auto"/>
                <w:highlight w:val="none"/>
              </w:rPr>
              <w:t>III</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类，满足《地表水环境质量标准》（GB3838-2002）中Ⅲ类标准要求，属于达标区。</w:t>
            </w:r>
          </w:p>
          <w:p w14:paraId="60F00358">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kern w:val="0"/>
                <w:highlight w:val="none"/>
              </w:rPr>
            </w:pPr>
            <w:r>
              <w:rPr>
                <w:b/>
                <w:color w:val="auto"/>
                <w:kern w:val="0"/>
                <w:highlight w:val="none"/>
              </w:rPr>
              <w:t>6、声环境质量现状</w:t>
            </w:r>
          </w:p>
          <w:p w14:paraId="2238A8FF">
            <w:pPr>
              <w:rPr>
                <w:rFonts w:hint="eastAsia"/>
                <w:color w:val="auto"/>
                <w:highlight w:val="none"/>
              </w:rPr>
            </w:pPr>
            <w:r>
              <w:rPr>
                <w:rFonts w:hint="eastAsia"/>
                <w:color w:val="auto"/>
                <w:highlight w:val="none"/>
              </w:rPr>
              <w:t>为了解本项目沿线的声环境质量现状，对项目所在区域沿线进行了现状监测。声环境质量现状监测布点原则、监测点位布设情况及布设图、监测结果详见《声环境影响评价专题报告》。</w:t>
            </w:r>
          </w:p>
          <w:p w14:paraId="0861C21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kern w:val="0"/>
                <w:highlight w:val="none"/>
              </w:rPr>
            </w:pPr>
            <w:r>
              <w:rPr>
                <w:rFonts w:hint="eastAsia"/>
                <w:color w:val="auto"/>
                <w:highlight w:val="none"/>
              </w:rPr>
              <w:t>本项目为改扩建公路，敏感点分布路段现状均为四级公路，区域主要为农业区，监测期间主要噪声源为原有公路噪声和区域社会生活噪声，现状敏感点噪声级昼间在</w:t>
            </w:r>
            <w:r>
              <w:rPr>
                <w:rFonts w:hint="eastAsia"/>
                <w:color w:val="auto"/>
                <w:highlight w:val="none"/>
                <w:lang w:val="en-US" w:eastAsia="zh-CN"/>
              </w:rPr>
              <w:t>50~52</w:t>
            </w:r>
            <w:r>
              <w:rPr>
                <w:color w:val="auto"/>
                <w:highlight w:val="none"/>
              </w:rPr>
              <w:t xml:space="preserve"> dB(A)</w:t>
            </w:r>
            <w:r>
              <w:rPr>
                <w:rFonts w:hint="eastAsia"/>
                <w:color w:val="auto"/>
                <w:highlight w:val="none"/>
              </w:rPr>
              <w:t>、夜间在</w:t>
            </w:r>
            <w:r>
              <w:rPr>
                <w:rFonts w:hint="eastAsia"/>
                <w:color w:val="auto"/>
                <w:highlight w:val="none"/>
                <w:lang w:val="en-US" w:eastAsia="zh-CN"/>
              </w:rPr>
              <w:t>41~43</w:t>
            </w:r>
            <w:r>
              <w:rPr>
                <w:color w:val="auto"/>
                <w:highlight w:val="none"/>
              </w:rPr>
              <w:t>dB(A)</w:t>
            </w:r>
            <w:r>
              <w:rPr>
                <w:rFonts w:hint="eastAsia"/>
                <w:color w:val="auto"/>
                <w:highlight w:val="none"/>
              </w:rPr>
              <w:t>之间，交通噪声为中等强度的随机非稳态噪声，与道路车流量、车辆类型、行驶车速、道路状况等密切相关；社会</w:t>
            </w:r>
            <w:r>
              <w:rPr>
                <w:color w:val="auto"/>
                <w:highlight w:val="none"/>
              </w:rPr>
              <w:t>生活噪声</w:t>
            </w:r>
            <w:r>
              <w:rPr>
                <w:rFonts w:hint="eastAsia"/>
                <w:color w:val="auto"/>
                <w:highlight w:val="none"/>
              </w:rPr>
              <w:t>噪声级昼间在</w:t>
            </w:r>
            <w:r>
              <w:rPr>
                <w:rFonts w:hint="eastAsia"/>
                <w:color w:val="auto"/>
                <w:highlight w:val="none"/>
                <w:lang w:val="en-US" w:eastAsia="zh-CN"/>
              </w:rPr>
              <w:t>50~51</w:t>
            </w:r>
            <w:r>
              <w:rPr>
                <w:color w:val="auto"/>
                <w:highlight w:val="none"/>
              </w:rPr>
              <w:t xml:space="preserve"> dB(A)</w:t>
            </w:r>
            <w:r>
              <w:rPr>
                <w:rFonts w:hint="eastAsia"/>
                <w:color w:val="auto"/>
                <w:highlight w:val="none"/>
              </w:rPr>
              <w:t>、夜间在</w:t>
            </w:r>
            <w:r>
              <w:rPr>
                <w:rFonts w:hint="eastAsia"/>
                <w:color w:val="auto"/>
                <w:highlight w:val="none"/>
                <w:lang w:val="en-US" w:eastAsia="zh-CN"/>
              </w:rPr>
              <w:t>40~41</w:t>
            </w:r>
            <w:r>
              <w:rPr>
                <w:color w:val="auto"/>
                <w:highlight w:val="none"/>
              </w:rPr>
              <w:t>dB(A)</w:t>
            </w:r>
            <w:r>
              <w:rPr>
                <w:rFonts w:hint="eastAsia"/>
                <w:color w:val="auto"/>
                <w:highlight w:val="none"/>
              </w:rPr>
              <w:t>之间，</w:t>
            </w:r>
            <w:r>
              <w:rPr>
                <w:color w:val="auto"/>
                <w:highlight w:val="none"/>
              </w:rPr>
              <w:t>属于</w:t>
            </w:r>
            <w:r>
              <w:rPr>
                <w:rFonts w:hint="eastAsia"/>
                <w:color w:val="auto"/>
                <w:highlight w:val="none"/>
              </w:rPr>
              <w:t>当地居民日常活动中产生的声音。</w:t>
            </w:r>
          </w:p>
        </w:tc>
      </w:tr>
      <w:tr w14:paraId="172A6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13340CFC">
            <w:pPr>
              <w:ind w:firstLine="0" w:firstLineChars="0"/>
              <w:jc w:val="center"/>
              <w:rPr>
                <w:color w:val="auto"/>
                <w:highlight w:val="none"/>
              </w:rPr>
            </w:pPr>
            <w:r>
              <w:rPr>
                <w:color w:val="auto"/>
                <w:highlight w:val="none"/>
              </w:rPr>
              <w:t>与项目有关的原有环境污染和生态破坏问题</w:t>
            </w:r>
          </w:p>
        </w:tc>
        <w:tc>
          <w:tcPr>
            <w:tcW w:w="4550" w:type="pct"/>
            <w:vAlign w:val="center"/>
          </w:tcPr>
          <w:p w14:paraId="10FC5BED">
            <w:pPr>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既有道路工程情况</w:t>
            </w:r>
          </w:p>
          <w:p w14:paraId="3E73F00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临江至长江公路</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2010</w:t>
            </w:r>
            <w:r>
              <w:rPr>
                <w:rFonts w:hint="default" w:ascii="Times New Roman" w:hAnsi="Times New Roman" w:eastAsia="宋体" w:cs="Times New Roman"/>
                <w:color w:val="auto"/>
                <w:sz w:val="24"/>
                <w:szCs w:val="24"/>
                <w:highlight w:val="none"/>
              </w:rPr>
              <w:t>年建成的四级公路，现有旧路全长约</w:t>
            </w:r>
            <w:r>
              <w:rPr>
                <w:rFonts w:hint="eastAsia" w:cs="Times New Roman"/>
                <w:color w:val="auto"/>
                <w:sz w:val="24"/>
                <w:szCs w:val="24"/>
                <w:highlight w:val="none"/>
                <w:lang w:val="en-US" w:eastAsia="zh-CN"/>
              </w:rPr>
              <w:t>18.777</w:t>
            </w:r>
            <w:r>
              <w:rPr>
                <w:rFonts w:hint="default" w:ascii="Times New Roman" w:hAnsi="Times New Roman" w:eastAsia="宋体" w:cs="Times New Roman"/>
                <w:color w:val="auto"/>
                <w:sz w:val="24"/>
                <w:szCs w:val="24"/>
                <w:highlight w:val="none"/>
              </w:rPr>
              <w:t>km，路基宽</w:t>
            </w:r>
            <w:r>
              <w:rPr>
                <w:rFonts w:hint="eastAsia"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m，路面宽4.5m，根据现场调查，现有道路为水泥混凝土路面。旧路水泥混凝土面层大部分路段完整，但有纵、横缝、断板、碎板等病害。</w:t>
            </w:r>
            <w:r>
              <w:rPr>
                <w:rFonts w:hint="default" w:ascii="Times New Roman" w:hAnsi="Times New Roman" w:eastAsia="宋体" w:cs="Times New Roman"/>
                <w:color w:val="auto"/>
                <w:sz w:val="24"/>
                <w:szCs w:val="24"/>
                <w:highlight w:val="none"/>
                <w:lang w:val="en-US" w:eastAsia="zh-CN"/>
              </w:rPr>
              <w:t>现有道路存在的主要问题是由于交通量的不断增加，路面宽度过窄，车辆会车困难，容易发生车辆剐蹭等交通事故，公路现状的服务水平日益下降，现有道路的通行能力满足不了日益增长的交通量</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严重影响了周边群众生产、生活出行的交通环境。因此，尽快对本项目建设是必要和急需的。</w:t>
            </w:r>
          </w:p>
          <w:p w14:paraId="6D60754F">
            <w:pPr>
              <w:pStyle w:val="14"/>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color w:val="auto"/>
                <w:highlight w:val="none"/>
                <w:lang w:val="en-US" w:eastAsia="zh-CN"/>
              </w:rPr>
            </w:pPr>
            <w:r>
              <w:rPr>
                <w:rFonts w:hint="default" w:ascii="Times New Roman" w:hAnsi="Times New Roman" w:eastAsia="宋体" w:cs="Times New Roman"/>
                <w:color w:val="auto"/>
                <w:sz w:val="24"/>
                <w:szCs w:val="24"/>
                <w:highlight w:val="none"/>
              </w:rPr>
              <w:t>由于原有旧路修建较早，无环境影响评价、竣工环境保护验收、排污许可等手续。根据环境保护部函《关于建设项目“未批先建”违法行为法律适用问题的意见》（环政法函［2018］31号）中“因“未批先建”违法行为自建设行为终了之日起二年内未被发现而未予行政处罚的，建设单位应补办环评手续，因此，本项目针对本次路段进行办理环评手续。</w:t>
            </w:r>
          </w:p>
          <w:tbl>
            <w:tblPr>
              <w:tblStyle w:val="16"/>
              <w:tblW w:w="0" w:type="auto"/>
              <w:tblInd w:w="282"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636"/>
              <w:gridCol w:w="3636"/>
            </w:tblGrid>
            <w:tr w14:paraId="4CDDACC7">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60" w:hRule="atLeast"/>
              </w:trPr>
              <w:tc>
                <w:tcPr>
                  <w:tcW w:w="3540" w:type="dxa"/>
                  <w:tcBorders>
                    <w:tl2br w:val="nil"/>
                    <w:tr2bl w:val="nil"/>
                  </w:tcBorders>
                </w:tcPr>
                <w:p w14:paraId="0D5C15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color w:val="auto"/>
                      <w:highlight w:val="none"/>
                      <w:vertAlign w:val="baseline"/>
                    </w:rPr>
                  </w:pPr>
                  <w:r>
                    <w:rPr>
                      <w:color w:val="auto"/>
                      <w:highlight w:val="none"/>
                    </w:rPr>
                    <w:drawing>
                      <wp:inline distT="0" distB="0" distL="114300" distR="114300">
                        <wp:extent cx="2160270" cy="1800225"/>
                        <wp:effectExtent l="0" t="0" r="11430" b="9525"/>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6"/>
                                <a:stretch>
                                  <a:fillRect/>
                                </a:stretch>
                              </pic:blipFill>
                              <pic:spPr>
                                <a:xfrm>
                                  <a:off x="0" y="0"/>
                                  <a:ext cx="2160270" cy="1800225"/>
                                </a:xfrm>
                                <a:prstGeom prst="rect">
                                  <a:avLst/>
                                </a:prstGeom>
                                <a:noFill/>
                                <a:ln>
                                  <a:noFill/>
                                </a:ln>
                              </pic:spPr>
                            </pic:pic>
                          </a:graphicData>
                        </a:graphic>
                      </wp:inline>
                    </w:drawing>
                  </w:r>
                </w:p>
              </w:tc>
              <w:tc>
                <w:tcPr>
                  <w:tcW w:w="3440" w:type="dxa"/>
                  <w:tcBorders>
                    <w:tl2br w:val="nil"/>
                    <w:tr2bl w:val="nil"/>
                  </w:tcBorders>
                </w:tcPr>
                <w:p w14:paraId="74591F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color w:val="auto"/>
                      <w:highlight w:val="none"/>
                      <w:vertAlign w:val="baseline"/>
                    </w:rPr>
                  </w:pPr>
                  <w:r>
                    <w:rPr>
                      <w:color w:val="auto"/>
                      <w:highlight w:val="none"/>
                    </w:rPr>
                    <w:drawing>
                      <wp:inline distT="0" distB="0" distL="114300" distR="114300">
                        <wp:extent cx="2160270" cy="1800225"/>
                        <wp:effectExtent l="0" t="0" r="11430" b="9525"/>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17"/>
                                <a:stretch>
                                  <a:fillRect/>
                                </a:stretch>
                              </pic:blipFill>
                              <pic:spPr>
                                <a:xfrm>
                                  <a:off x="0" y="0"/>
                                  <a:ext cx="2160270" cy="1800225"/>
                                </a:xfrm>
                                <a:prstGeom prst="rect">
                                  <a:avLst/>
                                </a:prstGeom>
                                <a:noFill/>
                                <a:ln>
                                  <a:noFill/>
                                </a:ln>
                              </pic:spPr>
                            </pic:pic>
                          </a:graphicData>
                        </a:graphic>
                      </wp:inline>
                    </w:drawing>
                  </w:r>
                </w:p>
              </w:tc>
            </w:tr>
          </w:tbl>
          <w:p w14:paraId="26DE9F26">
            <w:pPr>
              <w:ind w:left="0" w:leftChars="0" w:firstLine="0" w:firstLineChars="0"/>
              <w:jc w:val="center"/>
              <w:rPr>
                <w:rFonts w:hint="eastAsia"/>
                <w:color w:val="auto"/>
                <w:highlight w:val="none"/>
                <w:lang w:val="en-US" w:eastAsia="zh-CN"/>
              </w:rPr>
            </w:pPr>
            <w:r>
              <w:rPr>
                <w:rFonts w:hint="eastAsia"/>
                <w:b/>
                <w:color w:val="auto"/>
                <w:sz w:val="24"/>
                <w:highlight w:val="none"/>
                <w:lang w:val="en-US" w:eastAsia="zh-CN"/>
              </w:rPr>
              <w:t>图</w:t>
            </w:r>
            <w:r>
              <w:rPr>
                <w:rFonts w:hint="default" w:eastAsia="宋体"/>
                <w:b/>
                <w:color w:val="auto"/>
                <w:sz w:val="24"/>
                <w:highlight w:val="none"/>
              </w:rPr>
              <w:t>3-</w:t>
            </w:r>
            <w:r>
              <w:rPr>
                <w:rFonts w:hint="eastAsia" w:eastAsia="宋体"/>
                <w:b/>
                <w:color w:val="auto"/>
                <w:sz w:val="24"/>
                <w:highlight w:val="none"/>
                <w:lang w:val="en-US" w:eastAsia="zh-CN"/>
              </w:rPr>
              <w:t>1</w:t>
            </w:r>
            <w:r>
              <w:rPr>
                <w:rFonts w:hint="eastAsia"/>
                <w:b/>
                <w:color w:val="auto"/>
                <w:sz w:val="24"/>
                <w:highlight w:val="none"/>
                <w:lang w:val="en-US" w:eastAsia="zh-CN"/>
              </w:rPr>
              <w:t xml:space="preserve"> 道路现状照片</w:t>
            </w:r>
          </w:p>
          <w:p w14:paraId="608F1926">
            <w:pPr>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原有污染</w:t>
            </w:r>
          </w:p>
          <w:p w14:paraId="5F0ECE99">
            <w:pPr>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原有道路主要污染为交通噪声、汽车尾气。</w:t>
            </w:r>
          </w:p>
          <w:p w14:paraId="131AC7BB">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环境问题</w:t>
            </w:r>
          </w:p>
          <w:p w14:paraId="1BAE5E0E">
            <w:pPr>
              <w:keepNext w:val="0"/>
              <w:keepLines w:val="0"/>
              <w:pageBreakBefore w:val="0"/>
              <w:widowControl w:val="0"/>
              <w:kinsoku/>
              <w:wordWrap/>
              <w:overflowPunct/>
              <w:topLinePunct w:val="0"/>
              <w:autoSpaceDE/>
              <w:autoSpaceDN/>
              <w:bidi w:val="0"/>
              <w:spacing w:line="360" w:lineRule="auto"/>
              <w:ind w:firstLine="480"/>
              <w:textAlignment w:val="auto"/>
              <w:rPr>
                <w:color w:val="auto"/>
                <w:kern w:val="0"/>
                <w:highlight w:val="none"/>
              </w:rPr>
            </w:pPr>
            <w:r>
              <w:rPr>
                <w:rFonts w:hint="default" w:ascii="Times New Roman" w:hAnsi="Times New Roman" w:eastAsia="宋体" w:cs="Times New Roman"/>
                <w:color w:val="auto"/>
                <w:sz w:val="24"/>
                <w:szCs w:val="24"/>
                <w:highlight w:val="none"/>
              </w:rPr>
              <w:t>经调查，原有道路沿线植被生长良好；经监测，原有道路沿线各监测点声环境均满足《声环境质量标准》（GB3096-2008）中</w:t>
            </w:r>
            <w:r>
              <w:rPr>
                <w:rFonts w:hint="eastAsia" w:cs="Times New Roman"/>
                <w:color w:val="auto"/>
                <w:sz w:val="24"/>
                <w:szCs w:val="24"/>
                <w:highlight w:val="none"/>
                <w:lang w:val="en-US" w:eastAsia="zh-CN"/>
              </w:rPr>
              <w:t>2类</w:t>
            </w:r>
            <w:r>
              <w:rPr>
                <w:rFonts w:hint="default" w:ascii="Times New Roman" w:hAnsi="Times New Roman" w:eastAsia="宋体" w:cs="Times New Roman"/>
                <w:color w:val="auto"/>
                <w:sz w:val="24"/>
                <w:szCs w:val="24"/>
                <w:highlight w:val="none"/>
              </w:rPr>
              <w:t>标准要求。</w:t>
            </w:r>
          </w:p>
        </w:tc>
      </w:tr>
      <w:tr w14:paraId="1203E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4050359D">
            <w:pPr>
              <w:ind w:firstLine="0" w:firstLineChars="0"/>
              <w:jc w:val="center"/>
              <w:rPr>
                <w:color w:val="auto"/>
                <w:highlight w:val="none"/>
              </w:rPr>
            </w:pPr>
            <w:r>
              <w:rPr>
                <w:color w:val="auto"/>
                <w:highlight w:val="none"/>
              </w:rPr>
              <w:t>生态环境保护目标</w:t>
            </w:r>
          </w:p>
        </w:tc>
        <w:tc>
          <w:tcPr>
            <w:tcW w:w="4550" w:type="pct"/>
            <w:vAlign w:val="center"/>
          </w:tcPr>
          <w:p w14:paraId="19FCE87B">
            <w:pPr>
              <w:adjustRightInd w:val="0"/>
              <w:snapToGrid w:val="0"/>
              <w:spacing w:line="480" w:lineRule="exact"/>
              <w:ind w:firstLine="482"/>
              <w:rPr>
                <w:b/>
                <w:color w:val="auto"/>
                <w:kern w:val="0"/>
                <w:highlight w:val="none"/>
              </w:rPr>
            </w:pPr>
            <w:r>
              <w:rPr>
                <w:b/>
                <w:color w:val="auto"/>
                <w:kern w:val="0"/>
                <w:highlight w:val="none"/>
              </w:rPr>
              <w:t>1、生态环境保护目标</w:t>
            </w:r>
          </w:p>
          <w:p w14:paraId="7FE380E8">
            <w:pPr>
              <w:adjustRightInd w:val="0"/>
              <w:snapToGrid w:val="0"/>
              <w:spacing w:line="480" w:lineRule="exact"/>
              <w:ind w:firstLine="480"/>
              <w:rPr>
                <w:color w:val="auto"/>
                <w:kern w:val="0"/>
                <w:highlight w:val="none"/>
              </w:rPr>
            </w:pPr>
            <w:r>
              <w:rPr>
                <w:rFonts w:hint="eastAsia"/>
                <w:color w:val="auto"/>
                <w:kern w:val="0"/>
                <w:highlight w:val="none"/>
              </w:rPr>
              <w:t>根据调查，本项目评价范围内</w:t>
            </w:r>
            <w:r>
              <w:rPr>
                <w:rFonts w:hint="eastAsia"/>
                <w:color w:val="auto"/>
                <w:kern w:val="0"/>
                <w:highlight w:val="none"/>
                <w:lang w:val="en-US" w:eastAsia="zh-CN"/>
              </w:rPr>
              <w:t>不</w:t>
            </w:r>
            <w:r>
              <w:rPr>
                <w:rFonts w:hint="eastAsia"/>
                <w:color w:val="auto"/>
                <w:kern w:val="0"/>
                <w:highlight w:val="none"/>
              </w:rPr>
              <w:t>涉及生态保护红线及国家级公益林，无原始天然林分布；河流不涉及珍稀濒危鱼类“三场”及洄游通道等，具体</w:t>
            </w:r>
            <w:r>
              <w:rPr>
                <w:color w:val="auto"/>
                <w:kern w:val="0"/>
                <w:highlight w:val="none"/>
              </w:rPr>
              <w:t>见表3-</w:t>
            </w:r>
            <w:r>
              <w:rPr>
                <w:rFonts w:hint="eastAsia"/>
                <w:color w:val="auto"/>
                <w:kern w:val="0"/>
                <w:highlight w:val="none"/>
                <w:lang w:val="en-US" w:eastAsia="zh-CN"/>
              </w:rPr>
              <w:t>2</w:t>
            </w:r>
            <w:r>
              <w:rPr>
                <w:rFonts w:hint="eastAsia"/>
                <w:color w:val="auto"/>
                <w:kern w:val="0"/>
                <w:highlight w:val="none"/>
              </w:rPr>
              <w:t>。</w:t>
            </w:r>
          </w:p>
          <w:p w14:paraId="34783F59">
            <w:pPr>
              <w:pStyle w:val="27"/>
              <w:adjustRightInd w:val="0"/>
              <w:snapToGrid w:val="0"/>
              <w:spacing w:line="480" w:lineRule="exact"/>
              <w:ind w:firstLine="482"/>
              <w:rPr>
                <w:rFonts w:hint="default" w:eastAsia="宋体"/>
                <w:b/>
                <w:color w:val="auto"/>
                <w:sz w:val="24"/>
                <w:highlight w:val="none"/>
              </w:rPr>
            </w:pPr>
            <w:r>
              <w:rPr>
                <w:rFonts w:eastAsia="宋体"/>
                <w:b/>
                <w:color w:val="auto"/>
                <w:sz w:val="24"/>
                <w:highlight w:val="none"/>
              </w:rPr>
              <w:t>表</w:t>
            </w:r>
            <w:r>
              <w:rPr>
                <w:rFonts w:hint="default" w:eastAsia="宋体"/>
                <w:b/>
                <w:color w:val="auto"/>
                <w:sz w:val="24"/>
                <w:highlight w:val="none"/>
              </w:rPr>
              <w:t>3-</w:t>
            </w:r>
            <w:r>
              <w:rPr>
                <w:rFonts w:hint="eastAsia" w:eastAsia="宋体"/>
                <w:b/>
                <w:color w:val="auto"/>
                <w:sz w:val="24"/>
                <w:highlight w:val="none"/>
                <w:lang w:val="en-US" w:eastAsia="zh-CN"/>
              </w:rPr>
              <w:t>2</w:t>
            </w:r>
            <w:r>
              <w:rPr>
                <w:rFonts w:eastAsia="宋体"/>
                <w:b/>
                <w:color w:val="auto"/>
                <w:sz w:val="24"/>
                <w:highlight w:val="none"/>
              </w:rPr>
              <w:t xml:space="preserve"> 生态环境保护目标表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35"/>
              <w:gridCol w:w="1396"/>
              <w:gridCol w:w="1647"/>
              <w:gridCol w:w="3876"/>
            </w:tblGrid>
            <w:tr w14:paraId="6F4BC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20" w:type="pct"/>
                  <w:noWrap w:val="0"/>
                  <w:vAlign w:val="center"/>
                </w:tcPr>
                <w:p w14:paraId="66760D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21"/>
                      <w:sz w:val="21"/>
                      <w:szCs w:val="21"/>
                      <w:highlight w:val="none"/>
                    </w:rPr>
                  </w:pPr>
                  <w:r>
                    <w:rPr>
                      <w:color w:val="auto"/>
                      <w:kern w:val="21"/>
                      <w:sz w:val="21"/>
                      <w:szCs w:val="21"/>
                      <w:highlight w:val="none"/>
                    </w:rPr>
                    <w:t>序号</w:t>
                  </w:r>
                </w:p>
              </w:tc>
              <w:tc>
                <w:tcPr>
                  <w:tcW w:w="924" w:type="pct"/>
                  <w:noWrap w:val="0"/>
                  <w:vAlign w:val="center"/>
                </w:tcPr>
                <w:p w14:paraId="4F8A3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21"/>
                      <w:sz w:val="21"/>
                      <w:szCs w:val="21"/>
                      <w:highlight w:val="none"/>
                    </w:rPr>
                  </w:pPr>
                  <w:r>
                    <w:rPr>
                      <w:color w:val="auto"/>
                      <w:kern w:val="21"/>
                      <w:sz w:val="21"/>
                      <w:szCs w:val="21"/>
                      <w:highlight w:val="none"/>
                    </w:rPr>
                    <w:t>主要关注目标</w:t>
                  </w:r>
                </w:p>
              </w:tc>
              <w:tc>
                <w:tcPr>
                  <w:tcW w:w="1090" w:type="pct"/>
                  <w:noWrap w:val="0"/>
                  <w:vAlign w:val="center"/>
                </w:tcPr>
                <w:p w14:paraId="30BC1F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21"/>
                      <w:sz w:val="21"/>
                      <w:szCs w:val="21"/>
                      <w:highlight w:val="none"/>
                    </w:rPr>
                  </w:pPr>
                  <w:r>
                    <w:rPr>
                      <w:color w:val="auto"/>
                      <w:kern w:val="21"/>
                      <w:sz w:val="21"/>
                      <w:szCs w:val="21"/>
                      <w:highlight w:val="none"/>
                    </w:rPr>
                    <w:t>位置及备注</w:t>
                  </w:r>
                </w:p>
              </w:tc>
              <w:tc>
                <w:tcPr>
                  <w:tcW w:w="2565" w:type="pct"/>
                  <w:noWrap w:val="0"/>
                  <w:vAlign w:val="center"/>
                </w:tcPr>
                <w:p w14:paraId="09368B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21"/>
                      <w:sz w:val="21"/>
                      <w:szCs w:val="21"/>
                      <w:highlight w:val="none"/>
                    </w:rPr>
                  </w:pPr>
                  <w:r>
                    <w:rPr>
                      <w:color w:val="auto"/>
                      <w:kern w:val="21"/>
                      <w:sz w:val="21"/>
                      <w:szCs w:val="21"/>
                      <w:highlight w:val="none"/>
                    </w:rPr>
                    <w:t>主要保护内容</w:t>
                  </w:r>
                </w:p>
              </w:tc>
            </w:tr>
            <w:tr w14:paraId="3227F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20" w:type="pct"/>
                  <w:noWrap w:val="0"/>
                  <w:vAlign w:val="center"/>
                </w:tcPr>
                <w:p w14:paraId="2E774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21"/>
                      <w:sz w:val="21"/>
                      <w:szCs w:val="21"/>
                      <w:highlight w:val="none"/>
                      <w:lang w:val="en-US" w:eastAsia="zh-CN"/>
                    </w:rPr>
                  </w:pPr>
                  <w:r>
                    <w:rPr>
                      <w:rFonts w:hint="eastAsia" w:eastAsia="宋体"/>
                      <w:color w:val="auto"/>
                      <w:kern w:val="21"/>
                      <w:sz w:val="21"/>
                      <w:szCs w:val="21"/>
                      <w:highlight w:val="none"/>
                      <w:lang w:val="en-US" w:eastAsia="zh-CN"/>
                    </w:rPr>
                    <w:t>1</w:t>
                  </w:r>
                </w:p>
              </w:tc>
              <w:tc>
                <w:tcPr>
                  <w:tcW w:w="924" w:type="pct"/>
                  <w:noWrap w:val="0"/>
                  <w:vAlign w:val="center"/>
                </w:tcPr>
                <w:p w14:paraId="75550A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21"/>
                      <w:sz w:val="21"/>
                      <w:szCs w:val="21"/>
                      <w:highlight w:val="none"/>
                    </w:rPr>
                  </w:pPr>
                  <w:r>
                    <w:rPr>
                      <w:color w:val="auto"/>
                      <w:kern w:val="21"/>
                      <w:sz w:val="21"/>
                      <w:szCs w:val="21"/>
                      <w:highlight w:val="none"/>
                    </w:rPr>
                    <w:t>陆生生态系统</w:t>
                  </w:r>
                </w:p>
              </w:tc>
              <w:tc>
                <w:tcPr>
                  <w:tcW w:w="1090" w:type="pct"/>
                  <w:noWrap w:val="0"/>
                  <w:vAlign w:val="center"/>
                </w:tcPr>
                <w:p w14:paraId="0E253215">
                  <w:pPr>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color w:val="auto"/>
                      <w:kern w:val="21"/>
                      <w:sz w:val="21"/>
                      <w:szCs w:val="21"/>
                      <w:highlight w:val="none"/>
                    </w:rPr>
                  </w:pPr>
                  <w:r>
                    <w:rPr>
                      <w:rFonts w:hint="eastAsia"/>
                      <w:color w:val="auto"/>
                      <w:sz w:val="21"/>
                      <w:szCs w:val="21"/>
                      <w:highlight w:val="none"/>
                      <w:lang w:eastAsia="zh-CN"/>
                    </w:rPr>
                    <w:t>以路中心线向两侧各外延300m区域</w:t>
                  </w:r>
                  <w:r>
                    <w:rPr>
                      <w:color w:val="auto"/>
                      <w:sz w:val="21"/>
                      <w:szCs w:val="21"/>
                      <w:highlight w:val="none"/>
                    </w:rPr>
                    <w:t>内野生动植物保护</w:t>
                  </w:r>
                </w:p>
              </w:tc>
              <w:tc>
                <w:tcPr>
                  <w:tcW w:w="2565" w:type="pct"/>
                  <w:noWrap w:val="0"/>
                  <w:vAlign w:val="center"/>
                </w:tcPr>
                <w:p w14:paraId="4F485D7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21"/>
                      <w:sz w:val="21"/>
                      <w:szCs w:val="21"/>
                      <w:highlight w:val="none"/>
                    </w:rPr>
                  </w:pPr>
                  <w:r>
                    <w:rPr>
                      <w:rFonts w:hint="eastAsia" w:cs="宋体"/>
                      <w:color w:val="auto"/>
                      <w:sz w:val="21"/>
                      <w:szCs w:val="21"/>
                      <w:highlight w:val="none"/>
                    </w:rPr>
                    <w:t>保护评价范围内的野生动植物及其生存环境，评价范围内无特殊受国家保护的动植物分布</w:t>
                  </w:r>
                </w:p>
              </w:tc>
            </w:tr>
            <w:tr w14:paraId="204B8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20" w:type="pct"/>
                  <w:noWrap w:val="0"/>
                  <w:vAlign w:val="center"/>
                </w:tcPr>
                <w:p w14:paraId="349CB3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21"/>
                      <w:sz w:val="21"/>
                      <w:szCs w:val="21"/>
                      <w:highlight w:val="none"/>
                      <w:lang w:val="en-US" w:eastAsia="zh-CN"/>
                    </w:rPr>
                  </w:pPr>
                  <w:r>
                    <w:rPr>
                      <w:rFonts w:hint="eastAsia" w:eastAsia="宋体"/>
                      <w:color w:val="auto"/>
                      <w:kern w:val="21"/>
                      <w:sz w:val="21"/>
                      <w:szCs w:val="21"/>
                      <w:highlight w:val="none"/>
                      <w:lang w:val="en-US" w:eastAsia="zh-CN"/>
                    </w:rPr>
                    <w:t>2</w:t>
                  </w:r>
                </w:p>
              </w:tc>
              <w:tc>
                <w:tcPr>
                  <w:tcW w:w="924" w:type="pct"/>
                  <w:noWrap w:val="0"/>
                  <w:vAlign w:val="center"/>
                </w:tcPr>
                <w:p w14:paraId="2B215D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21"/>
                      <w:sz w:val="21"/>
                      <w:szCs w:val="21"/>
                      <w:highlight w:val="none"/>
                    </w:rPr>
                  </w:pPr>
                  <w:r>
                    <w:rPr>
                      <w:rFonts w:hint="eastAsia"/>
                      <w:color w:val="auto"/>
                      <w:sz w:val="21"/>
                      <w:szCs w:val="21"/>
                      <w:highlight w:val="none"/>
                      <w:lang w:val="en-US" w:eastAsia="zh-CN"/>
                    </w:rPr>
                    <w:t>水土流失重点治理区</w:t>
                  </w:r>
                </w:p>
              </w:tc>
              <w:tc>
                <w:tcPr>
                  <w:tcW w:w="1090" w:type="pct"/>
                  <w:noWrap w:val="0"/>
                  <w:vAlign w:val="center"/>
                </w:tcPr>
                <w:p w14:paraId="1E29CE7F">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color w:val="auto"/>
                      <w:sz w:val="21"/>
                      <w:szCs w:val="21"/>
                      <w:highlight w:val="none"/>
                      <w:lang w:eastAsia="zh-CN"/>
                    </w:rPr>
                  </w:pPr>
                  <w:r>
                    <w:rPr>
                      <w:rFonts w:hint="eastAsia" w:ascii="Times New Roman" w:hAnsi="Times New Roman" w:eastAsia="宋体" w:cs="Times New Roman"/>
                      <w:color w:val="auto"/>
                      <w:kern w:val="21"/>
                      <w:sz w:val="21"/>
                      <w:szCs w:val="21"/>
                      <w:highlight w:val="none"/>
                      <w:lang w:eastAsia="zh-CN"/>
                    </w:rPr>
                    <w:t>项目占地</w:t>
                  </w:r>
                  <w:r>
                    <w:rPr>
                      <w:rFonts w:ascii="Times New Roman" w:hAnsi="Times New Roman" w:eastAsia="宋体" w:cs="Times New Roman"/>
                      <w:color w:val="auto"/>
                      <w:kern w:val="21"/>
                      <w:sz w:val="21"/>
                      <w:szCs w:val="21"/>
                      <w:highlight w:val="none"/>
                    </w:rPr>
                    <w:t>涉及</w:t>
                  </w:r>
                </w:p>
              </w:tc>
              <w:tc>
                <w:tcPr>
                  <w:tcW w:w="2565" w:type="pct"/>
                  <w:noWrap w:val="0"/>
                  <w:vAlign w:val="center"/>
                </w:tcPr>
                <w:p w14:paraId="6A437F0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s="宋体"/>
                      <w:color w:val="auto"/>
                      <w:sz w:val="21"/>
                      <w:szCs w:val="21"/>
                      <w:highlight w:val="none"/>
                    </w:rPr>
                  </w:pPr>
                  <w:r>
                    <w:rPr>
                      <w:color w:val="auto"/>
                      <w:sz w:val="21"/>
                      <w:szCs w:val="21"/>
                      <w:highlight w:val="none"/>
                    </w:rPr>
                    <w:t>预防或减轻水土流失</w:t>
                  </w:r>
                </w:p>
              </w:tc>
            </w:tr>
          </w:tbl>
          <w:p w14:paraId="1D18F015">
            <w:pPr>
              <w:adjustRightInd w:val="0"/>
              <w:snapToGrid w:val="0"/>
              <w:spacing w:line="480" w:lineRule="exact"/>
              <w:ind w:firstLine="482"/>
              <w:rPr>
                <w:b/>
                <w:color w:val="auto"/>
                <w:kern w:val="0"/>
                <w:highlight w:val="none"/>
              </w:rPr>
            </w:pPr>
            <w:r>
              <w:rPr>
                <w:rFonts w:hint="eastAsia"/>
                <w:b/>
                <w:color w:val="auto"/>
                <w:kern w:val="0"/>
                <w:highlight w:val="none"/>
              </w:rPr>
              <w:t>2、声环境保护目标</w:t>
            </w:r>
          </w:p>
          <w:p w14:paraId="6A813E81">
            <w:pPr>
              <w:adjustRightInd w:val="0"/>
              <w:snapToGrid w:val="0"/>
              <w:spacing w:line="480" w:lineRule="exact"/>
              <w:ind w:firstLine="480"/>
              <w:rPr>
                <w:rFonts w:hint="eastAsia"/>
                <w:color w:val="auto"/>
                <w:kern w:val="0"/>
                <w:highlight w:val="none"/>
              </w:rPr>
            </w:pPr>
            <w:r>
              <w:rPr>
                <w:rFonts w:hint="default" w:ascii="Times New Roman" w:hAnsi="Times New Roman" w:cs="Times New Roman"/>
                <w:color w:val="auto"/>
                <w:kern w:val="0"/>
                <w:highlight w:val="yellow"/>
                <w:lang w:val="en-US" w:eastAsia="zh-CN"/>
              </w:rPr>
              <w:t>根据《声环境质量标准》（GB 3096-2008），４类声环境功能区：指交通干线两侧一定距离之内，需要防止交通噪声对周围环境产生严重影响的区域，４</w:t>
            </w:r>
            <w:r>
              <w:rPr>
                <w:rFonts w:hint="eastAsia" w:ascii="Times New Roman" w:hAnsi="Times New Roman" w:cs="Times New Roman"/>
                <w:color w:val="auto"/>
                <w:kern w:val="0"/>
                <w:highlight w:val="yellow"/>
                <w:lang w:val="en-US" w:eastAsia="zh-CN"/>
              </w:rPr>
              <w:t>a类</w:t>
            </w:r>
            <w:r>
              <w:rPr>
                <w:rFonts w:hint="default" w:ascii="Times New Roman" w:hAnsi="Times New Roman" w:cs="Times New Roman"/>
                <w:color w:val="auto"/>
                <w:kern w:val="0"/>
                <w:highlight w:val="yellow"/>
                <w:lang w:val="en-US" w:eastAsia="zh-CN"/>
              </w:rPr>
              <w:t>为高速公路、一级公路、二级公路、城市快速路、城市主干路、城市次干路、城市轨道交通（地面段）、内河航道两侧区域</w:t>
            </w:r>
            <w:r>
              <w:rPr>
                <w:rFonts w:hint="eastAsia" w:ascii="Times New Roman" w:hAnsi="Times New Roman" w:cs="Times New Roman"/>
                <w:color w:val="auto"/>
                <w:kern w:val="0"/>
                <w:highlight w:val="yellow"/>
                <w:lang w:val="en-US" w:eastAsia="zh-CN"/>
              </w:rPr>
              <w:t>。</w:t>
            </w:r>
            <w:r>
              <w:rPr>
                <w:rFonts w:hint="default" w:ascii="Times New Roman" w:hAnsi="Times New Roman" w:cs="Times New Roman"/>
                <w:color w:val="auto"/>
                <w:kern w:val="0"/>
                <w:highlight w:val="yellow"/>
                <w:lang w:val="en-US" w:eastAsia="zh-CN"/>
              </w:rPr>
              <w:t>本项目为三级公路不属于4类声环境功能区</w:t>
            </w:r>
            <w:r>
              <w:rPr>
                <w:rFonts w:hint="eastAsia" w:ascii="Times New Roman" w:hAnsi="Times New Roman" w:cs="Times New Roman"/>
                <w:color w:val="auto"/>
                <w:kern w:val="0"/>
                <w:highlight w:val="yellow"/>
                <w:lang w:val="en-US" w:eastAsia="zh-CN"/>
              </w:rPr>
              <w:t>。</w:t>
            </w:r>
            <w:r>
              <w:rPr>
                <w:rFonts w:hint="eastAsia"/>
                <w:color w:val="auto"/>
                <w:kern w:val="0"/>
                <w:highlight w:val="none"/>
              </w:rPr>
              <w:t>本项目声环境保护目标为距公路中心线两侧</w:t>
            </w:r>
            <w:r>
              <w:rPr>
                <w:color w:val="auto"/>
                <w:kern w:val="0"/>
                <w:highlight w:val="none"/>
              </w:rPr>
              <w:t>200</w:t>
            </w:r>
            <w:r>
              <w:rPr>
                <w:rFonts w:hint="eastAsia"/>
                <w:color w:val="auto"/>
                <w:kern w:val="0"/>
                <w:highlight w:val="none"/>
              </w:rPr>
              <w:t>m范围内的居民区，</w:t>
            </w:r>
            <w:r>
              <w:rPr>
                <w:color w:val="auto"/>
                <w:kern w:val="0"/>
                <w:highlight w:val="none"/>
              </w:rPr>
              <w:t>声环境保护目标</w:t>
            </w:r>
            <w:r>
              <w:rPr>
                <w:rFonts w:hint="eastAsia"/>
                <w:color w:val="auto"/>
                <w:kern w:val="0"/>
                <w:highlight w:val="none"/>
                <w:lang w:val="en-US" w:eastAsia="zh-CN"/>
              </w:rPr>
              <w:t>表见下表</w:t>
            </w:r>
            <w:r>
              <w:rPr>
                <w:rFonts w:hint="eastAsia"/>
                <w:color w:val="auto"/>
                <w:kern w:val="0"/>
                <w:highlight w:val="none"/>
              </w:rPr>
              <w:t>。</w:t>
            </w:r>
          </w:p>
          <w:p w14:paraId="0BE36AB9">
            <w:pPr>
              <w:pStyle w:val="27"/>
              <w:adjustRightInd w:val="0"/>
              <w:snapToGrid w:val="0"/>
              <w:spacing w:line="480" w:lineRule="exact"/>
              <w:ind w:firstLine="482"/>
              <w:rPr>
                <w:rFonts w:hint="eastAsia" w:eastAsia="宋体"/>
                <w:b/>
                <w:color w:val="auto"/>
                <w:sz w:val="24"/>
                <w:highlight w:val="none"/>
                <w:lang w:val="en-US" w:eastAsia="zh-CN"/>
              </w:rPr>
            </w:pPr>
            <w:r>
              <w:rPr>
                <w:rFonts w:eastAsia="宋体"/>
                <w:b/>
                <w:color w:val="auto"/>
                <w:sz w:val="24"/>
                <w:highlight w:val="none"/>
              </w:rPr>
              <w:t>表</w:t>
            </w:r>
            <w:r>
              <w:rPr>
                <w:rFonts w:hint="default" w:eastAsia="宋体"/>
                <w:b/>
                <w:color w:val="auto"/>
                <w:sz w:val="24"/>
                <w:highlight w:val="none"/>
              </w:rPr>
              <w:t>3-</w:t>
            </w:r>
            <w:r>
              <w:rPr>
                <w:rFonts w:hint="eastAsia" w:eastAsia="宋体"/>
                <w:b/>
                <w:color w:val="auto"/>
                <w:sz w:val="24"/>
                <w:highlight w:val="none"/>
                <w:lang w:val="en-US" w:eastAsia="zh-CN"/>
              </w:rPr>
              <w:t>3</w:t>
            </w:r>
            <w:r>
              <w:rPr>
                <w:rFonts w:eastAsia="宋体"/>
                <w:b/>
                <w:color w:val="auto"/>
                <w:sz w:val="24"/>
                <w:highlight w:val="none"/>
              </w:rPr>
              <w:t xml:space="preserve"> </w:t>
            </w:r>
            <w:r>
              <w:rPr>
                <w:rFonts w:hint="eastAsia" w:eastAsia="宋体"/>
                <w:b/>
                <w:color w:val="auto"/>
                <w:sz w:val="24"/>
                <w:highlight w:val="none"/>
              </w:rPr>
              <w:t>声环境保护目标</w:t>
            </w:r>
            <w:r>
              <w:rPr>
                <w:rFonts w:hint="eastAsia" w:eastAsia="宋体"/>
                <w:b/>
                <w:color w:val="auto"/>
                <w:sz w:val="24"/>
                <w:highlight w:val="none"/>
                <w:lang w:val="en-US" w:eastAsia="zh-CN"/>
              </w:rPr>
              <w:t>表</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44"/>
              <w:gridCol w:w="600"/>
              <w:gridCol w:w="1714"/>
              <w:gridCol w:w="724"/>
              <w:gridCol w:w="772"/>
              <w:gridCol w:w="1082"/>
              <w:gridCol w:w="515"/>
              <w:gridCol w:w="922"/>
              <w:gridCol w:w="251"/>
              <w:gridCol w:w="724"/>
            </w:tblGrid>
            <w:tr w14:paraId="567AA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vMerge w:val="restart"/>
                  <w:noWrap w:val="0"/>
                  <w:vAlign w:val="center"/>
                </w:tcPr>
                <w:p w14:paraId="0C1B147F">
                  <w:pPr>
                    <w:spacing w:line="240" w:lineRule="auto"/>
                    <w:ind w:firstLine="0" w:firstLineChars="0"/>
                    <w:jc w:val="center"/>
                    <w:rPr>
                      <w:snapToGrid w:val="0"/>
                      <w:color w:val="auto"/>
                      <w:sz w:val="21"/>
                      <w:szCs w:val="21"/>
                      <w:highlight w:val="none"/>
                    </w:rPr>
                  </w:pPr>
                  <w:r>
                    <w:rPr>
                      <w:snapToGrid w:val="0"/>
                      <w:color w:val="auto"/>
                      <w:sz w:val="21"/>
                      <w:szCs w:val="21"/>
                      <w:highlight w:val="none"/>
                    </w:rPr>
                    <w:t>序号</w:t>
                  </w:r>
                </w:p>
              </w:tc>
              <w:tc>
                <w:tcPr>
                  <w:tcW w:w="447" w:type="pct"/>
                  <w:vMerge w:val="restart"/>
                  <w:noWrap w:val="0"/>
                  <w:vAlign w:val="center"/>
                </w:tcPr>
                <w:p w14:paraId="1364A85B">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环境保护目标名称</w:t>
                  </w:r>
                </w:p>
              </w:tc>
              <w:tc>
                <w:tcPr>
                  <w:tcW w:w="693" w:type="pct"/>
                  <w:vMerge w:val="restart"/>
                  <w:noWrap w:val="0"/>
                  <w:vAlign w:val="center"/>
                </w:tcPr>
                <w:p w14:paraId="0A76D705">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里程范围</w:t>
                  </w:r>
                </w:p>
              </w:tc>
              <w:tc>
                <w:tcPr>
                  <w:tcW w:w="528" w:type="pct"/>
                  <w:vMerge w:val="restart"/>
                  <w:noWrap w:val="0"/>
                  <w:vAlign w:val="center"/>
                </w:tcPr>
                <w:p w14:paraId="0A718F93">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线路形式</w:t>
                  </w:r>
                </w:p>
              </w:tc>
              <w:tc>
                <w:tcPr>
                  <w:tcW w:w="560" w:type="pct"/>
                  <w:vMerge w:val="restart"/>
                  <w:noWrap w:val="0"/>
                  <w:vAlign w:val="center"/>
                </w:tcPr>
                <w:p w14:paraId="4E3CD8A1">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方位</w:t>
                  </w:r>
                </w:p>
              </w:tc>
              <w:tc>
                <w:tcPr>
                  <w:tcW w:w="765" w:type="pct"/>
                  <w:vMerge w:val="restart"/>
                  <w:noWrap w:val="0"/>
                  <w:vAlign w:val="center"/>
                </w:tcPr>
                <w:p w14:paraId="40FD62DE">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声环境保护目标预测点与路面高差/</w:t>
                  </w:r>
                  <w:r>
                    <w:rPr>
                      <w:snapToGrid w:val="0"/>
                      <w:color w:val="auto"/>
                      <w:sz w:val="21"/>
                      <w:szCs w:val="21"/>
                      <w:highlight w:val="none"/>
                    </w:rPr>
                    <w:t>m</w:t>
                  </w:r>
                </w:p>
              </w:tc>
              <w:tc>
                <w:tcPr>
                  <w:tcW w:w="390" w:type="pct"/>
                  <w:vMerge w:val="restart"/>
                  <w:noWrap w:val="0"/>
                  <w:vAlign w:val="center"/>
                </w:tcPr>
                <w:p w14:paraId="21386863">
                  <w:pPr>
                    <w:spacing w:line="240" w:lineRule="auto"/>
                    <w:ind w:firstLine="0" w:firstLineChars="0"/>
                    <w:jc w:val="center"/>
                    <w:rPr>
                      <w:snapToGrid w:val="0"/>
                      <w:color w:val="auto"/>
                      <w:sz w:val="21"/>
                      <w:szCs w:val="21"/>
                      <w:highlight w:val="none"/>
                    </w:rPr>
                  </w:pPr>
                  <w:r>
                    <w:rPr>
                      <w:snapToGrid w:val="0"/>
                      <w:color w:val="auto"/>
                      <w:sz w:val="21"/>
                      <w:szCs w:val="21"/>
                      <w:highlight w:val="none"/>
                    </w:rPr>
                    <w:t>距</w:t>
                  </w:r>
                  <w:r>
                    <w:rPr>
                      <w:rFonts w:hint="eastAsia"/>
                      <w:snapToGrid w:val="0"/>
                      <w:color w:val="auto"/>
                      <w:sz w:val="21"/>
                      <w:szCs w:val="21"/>
                      <w:highlight w:val="none"/>
                    </w:rPr>
                    <w:t>道路边界(红线)</w:t>
                  </w:r>
                  <w:r>
                    <w:rPr>
                      <w:snapToGrid w:val="0"/>
                      <w:color w:val="auto"/>
                      <w:sz w:val="21"/>
                      <w:szCs w:val="21"/>
                      <w:highlight w:val="none"/>
                    </w:rPr>
                    <w:t>距离</w:t>
                  </w:r>
                  <w:r>
                    <w:rPr>
                      <w:rFonts w:hint="eastAsia"/>
                      <w:snapToGrid w:val="0"/>
                      <w:color w:val="auto"/>
                      <w:sz w:val="21"/>
                      <w:szCs w:val="21"/>
                      <w:highlight w:val="none"/>
                    </w:rPr>
                    <w:t>/</w:t>
                  </w:r>
                  <w:r>
                    <w:rPr>
                      <w:snapToGrid w:val="0"/>
                      <w:color w:val="auto"/>
                      <w:sz w:val="21"/>
                      <w:szCs w:val="21"/>
                      <w:highlight w:val="none"/>
                    </w:rPr>
                    <w:t>m</w:t>
                  </w:r>
                </w:p>
              </w:tc>
              <w:tc>
                <w:tcPr>
                  <w:tcW w:w="659" w:type="pct"/>
                  <w:vMerge w:val="restart"/>
                  <w:noWrap w:val="0"/>
                  <w:vAlign w:val="center"/>
                </w:tcPr>
                <w:p w14:paraId="3488E92E">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距道路中心线距离/</w:t>
                  </w:r>
                  <w:r>
                    <w:rPr>
                      <w:snapToGrid w:val="0"/>
                      <w:color w:val="auto"/>
                      <w:sz w:val="21"/>
                      <w:szCs w:val="21"/>
                      <w:highlight w:val="none"/>
                    </w:rPr>
                    <w:t>m</w:t>
                  </w:r>
                </w:p>
              </w:tc>
              <w:tc>
                <w:tcPr>
                  <w:tcW w:w="215" w:type="pct"/>
                  <w:noWrap w:val="0"/>
                  <w:vAlign w:val="center"/>
                </w:tcPr>
                <w:p w14:paraId="2598327C">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户数</w:t>
                  </w:r>
                </w:p>
              </w:tc>
              <w:tc>
                <w:tcPr>
                  <w:tcW w:w="528" w:type="pct"/>
                  <w:vMerge w:val="restart"/>
                  <w:noWrap w:val="0"/>
                  <w:vAlign w:val="center"/>
                </w:tcPr>
                <w:p w14:paraId="08F9B7DA">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声环境保护目标情况说明</w:t>
                  </w:r>
                </w:p>
              </w:tc>
            </w:tr>
            <w:tr w14:paraId="212B5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vMerge w:val="continue"/>
                  <w:noWrap w:val="0"/>
                  <w:vAlign w:val="center"/>
                </w:tcPr>
                <w:p w14:paraId="500FE592">
                  <w:pPr>
                    <w:spacing w:line="240" w:lineRule="auto"/>
                    <w:ind w:firstLine="0" w:firstLineChars="0"/>
                    <w:jc w:val="center"/>
                    <w:rPr>
                      <w:snapToGrid w:val="0"/>
                      <w:color w:val="auto"/>
                      <w:sz w:val="21"/>
                      <w:szCs w:val="21"/>
                      <w:highlight w:val="none"/>
                    </w:rPr>
                  </w:pPr>
                </w:p>
              </w:tc>
              <w:tc>
                <w:tcPr>
                  <w:tcW w:w="447" w:type="pct"/>
                  <w:vMerge w:val="continue"/>
                  <w:noWrap w:val="0"/>
                  <w:vAlign w:val="center"/>
                </w:tcPr>
                <w:p w14:paraId="4CC9710F">
                  <w:pPr>
                    <w:spacing w:line="240" w:lineRule="auto"/>
                    <w:ind w:firstLine="0" w:firstLineChars="0"/>
                    <w:jc w:val="center"/>
                    <w:rPr>
                      <w:snapToGrid w:val="0"/>
                      <w:color w:val="auto"/>
                      <w:sz w:val="21"/>
                      <w:szCs w:val="21"/>
                      <w:highlight w:val="none"/>
                    </w:rPr>
                  </w:pPr>
                </w:p>
              </w:tc>
              <w:tc>
                <w:tcPr>
                  <w:tcW w:w="693" w:type="pct"/>
                  <w:vMerge w:val="continue"/>
                  <w:noWrap w:val="0"/>
                  <w:vAlign w:val="center"/>
                </w:tcPr>
                <w:p w14:paraId="552D6A08">
                  <w:pPr>
                    <w:spacing w:line="240" w:lineRule="auto"/>
                    <w:ind w:firstLine="0" w:firstLineChars="0"/>
                    <w:jc w:val="center"/>
                    <w:rPr>
                      <w:snapToGrid w:val="0"/>
                      <w:color w:val="auto"/>
                      <w:sz w:val="21"/>
                      <w:szCs w:val="21"/>
                      <w:highlight w:val="none"/>
                    </w:rPr>
                  </w:pPr>
                </w:p>
              </w:tc>
              <w:tc>
                <w:tcPr>
                  <w:tcW w:w="528" w:type="pct"/>
                  <w:vMerge w:val="continue"/>
                  <w:noWrap w:val="0"/>
                  <w:vAlign w:val="center"/>
                </w:tcPr>
                <w:p w14:paraId="342041DB">
                  <w:pPr>
                    <w:spacing w:line="240" w:lineRule="auto"/>
                    <w:ind w:firstLine="0" w:firstLineChars="0"/>
                    <w:jc w:val="center"/>
                    <w:rPr>
                      <w:snapToGrid w:val="0"/>
                      <w:color w:val="auto"/>
                      <w:sz w:val="21"/>
                      <w:szCs w:val="21"/>
                      <w:highlight w:val="none"/>
                    </w:rPr>
                  </w:pPr>
                </w:p>
              </w:tc>
              <w:tc>
                <w:tcPr>
                  <w:tcW w:w="560" w:type="pct"/>
                  <w:vMerge w:val="continue"/>
                  <w:noWrap w:val="0"/>
                  <w:vAlign w:val="center"/>
                </w:tcPr>
                <w:p w14:paraId="76DE5579">
                  <w:pPr>
                    <w:spacing w:line="240" w:lineRule="auto"/>
                    <w:ind w:firstLine="0" w:firstLineChars="0"/>
                    <w:jc w:val="center"/>
                    <w:rPr>
                      <w:snapToGrid w:val="0"/>
                      <w:color w:val="auto"/>
                      <w:sz w:val="21"/>
                      <w:szCs w:val="21"/>
                      <w:highlight w:val="none"/>
                    </w:rPr>
                  </w:pPr>
                </w:p>
              </w:tc>
              <w:tc>
                <w:tcPr>
                  <w:tcW w:w="765" w:type="pct"/>
                  <w:vMerge w:val="continue"/>
                  <w:noWrap w:val="0"/>
                  <w:vAlign w:val="center"/>
                </w:tcPr>
                <w:p w14:paraId="322CB619">
                  <w:pPr>
                    <w:spacing w:line="240" w:lineRule="auto"/>
                    <w:ind w:firstLine="0" w:firstLineChars="0"/>
                    <w:jc w:val="center"/>
                    <w:rPr>
                      <w:snapToGrid w:val="0"/>
                      <w:color w:val="auto"/>
                      <w:sz w:val="21"/>
                      <w:szCs w:val="21"/>
                      <w:highlight w:val="none"/>
                    </w:rPr>
                  </w:pPr>
                </w:p>
              </w:tc>
              <w:tc>
                <w:tcPr>
                  <w:tcW w:w="390" w:type="pct"/>
                  <w:vMerge w:val="continue"/>
                  <w:tcBorders>
                    <w:bottom w:val="single" w:color="auto" w:sz="4" w:space="0"/>
                  </w:tcBorders>
                  <w:noWrap w:val="0"/>
                  <w:vAlign w:val="center"/>
                </w:tcPr>
                <w:p w14:paraId="4CD21BDF">
                  <w:pPr>
                    <w:spacing w:line="240" w:lineRule="auto"/>
                    <w:ind w:firstLine="0" w:firstLineChars="0"/>
                    <w:jc w:val="center"/>
                    <w:rPr>
                      <w:snapToGrid w:val="0"/>
                      <w:color w:val="auto"/>
                      <w:sz w:val="21"/>
                      <w:szCs w:val="21"/>
                      <w:highlight w:val="none"/>
                    </w:rPr>
                  </w:pPr>
                </w:p>
              </w:tc>
              <w:tc>
                <w:tcPr>
                  <w:tcW w:w="659" w:type="pct"/>
                  <w:vMerge w:val="continue"/>
                  <w:tcBorders>
                    <w:bottom w:val="single" w:color="auto" w:sz="4" w:space="0"/>
                  </w:tcBorders>
                  <w:noWrap w:val="0"/>
                  <w:vAlign w:val="center"/>
                </w:tcPr>
                <w:p w14:paraId="7F360F16">
                  <w:pPr>
                    <w:spacing w:line="240" w:lineRule="auto"/>
                    <w:ind w:firstLine="0" w:firstLineChars="0"/>
                    <w:jc w:val="center"/>
                    <w:rPr>
                      <w:snapToGrid w:val="0"/>
                      <w:color w:val="auto"/>
                      <w:sz w:val="21"/>
                      <w:szCs w:val="21"/>
                      <w:highlight w:val="none"/>
                    </w:rPr>
                  </w:pPr>
                </w:p>
              </w:tc>
              <w:tc>
                <w:tcPr>
                  <w:tcW w:w="215" w:type="pct"/>
                  <w:tcBorders>
                    <w:top w:val="single" w:color="auto" w:sz="4" w:space="0"/>
                  </w:tcBorders>
                  <w:noWrap w:val="0"/>
                  <w:vAlign w:val="center"/>
                </w:tcPr>
                <w:p w14:paraId="45CF6625">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2类</w:t>
                  </w:r>
                </w:p>
              </w:tc>
              <w:tc>
                <w:tcPr>
                  <w:tcW w:w="528" w:type="pct"/>
                  <w:vMerge w:val="continue"/>
                  <w:noWrap w:val="0"/>
                  <w:vAlign w:val="center"/>
                </w:tcPr>
                <w:p w14:paraId="4ABB72DF">
                  <w:pPr>
                    <w:spacing w:line="240" w:lineRule="auto"/>
                    <w:ind w:firstLine="0" w:firstLineChars="0"/>
                    <w:jc w:val="center"/>
                    <w:rPr>
                      <w:snapToGrid w:val="0"/>
                      <w:color w:val="auto"/>
                      <w:sz w:val="21"/>
                      <w:szCs w:val="21"/>
                      <w:highlight w:val="none"/>
                    </w:rPr>
                  </w:pPr>
                </w:p>
              </w:tc>
            </w:tr>
            <w:tr w14:paraId="100D6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noWrap w:val="0"/>
                  <w:vAlign w:val="center"/>
                </w:tcPr>
                <w:p w14:paraId="235B6FB4">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1</w:t>
                  </w:r>
                </w:p>
              </w:tc>
              <w:tc>
                <w:tcPr>
                  <w:tcW w:w="447" w:type="pct"/>
                  <w:noWrap w:val="0"/>
                  <w:vAlign w:val="center"/>
                </w:tcPr>
                <w:p w14:paraId="35CCC07E">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前回春岭</w:t>
                  </w:r>
                </w:p>
              </w:tc>
              <w:tc>
                <w:tcPr>
                  <w:tcW w:w="693" w:type="pct"/>
                  <w:noWrap w:val="0"/>
                  <w:vAlign w:val="center"/>
                </w:tcPr>
                <w:p w14:paraId="206A81BC">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K</w:t>
                  </w:r>
                  <w:r>
                    <w:rPr>
                      <w:rFonts w:hint="eastAsia"/>
                      <w:snapToGrid w:val="0"/>
                      <w:color w:val="auto"/>
                      <w:sz w:val="21"/>
                      <w:szCs w:val="21"/>
                      <w:highlight w:val="none"/>
                      <w:lang w:val="en-US" w:eastAsia="zh-CN"/>
                    </w:rPr>
                    <w:t>0</w:t>
                  </w:r>
                  <w:r>
                    <w:rPr>
                      <w:snapToGrid w:val="0"/>
                      <w:color w:val="auto"/>
                      <w:sz w:val="21"/>
                      <w:szCs w:val="21"/>
                      <w:highlight w:val="none"/>
                    </w:rPr>
                    <w:t>+</w:t>
                  </w:r>
                  <w:r>
                    <w:rPr>
                      <w:rFonts w:hint="eastAsia"/>
                      <w:snapToGrid w:val="0"/>
                      <w:color w:val="auto"/>
                      <w:sz w:val="21"/>
                      <w:szCs w:val="21"/>
                      <w:highlight w:val="none"/>
                      <w:lang w:val="en-US" w:eastAsia="zh-CN"/>
                    </w:rPr>
                    <w:t>000</w:t>
                  </w:r>
                  <w:r>
                    <w:rPr>
                      <w:snapToGrid w:val="0"/>
                      <w:color w:val="auto"/>
                      <w:sz w:val="21"/>
                      <w:szCs w:val="21"/>
                      <w:highlight w:val="none"/>
                    </w:rPr>
                    <w:t>~K</w:t>
                  </w:r>
                  <w:r>
                    <w:rPr>
                      <w:rFonts w:hint="eastAsia"/>
                      <w:snapToGrid w:val="0"/>
                      <w:color w:val="auto"/>
                      <w:sz w:val="21"/>
                      <w:szCs w:val="21"/>
                      <w:highlight w:val="none"/>
                      <w:lang w:val="en-US" w:eastAsia="zh-CN"/>
                    </w:rPr>
                    <w:t>00</w:t>
                  </w:r>
                  <w:r>
                    <w:rPr>
                      <w:snapToGrid w:val="0"/>
                      <w:color w:val="auto"/>
                      <w:sz w:val="21"/>
                      <w:szCs w:val="21"/>
                      <w:highlight w:val="none"/>
                    </w:rPr>
                    <w:t>+</w:t>
                  </w:r>
                  <w:r>
                    <w:rPr>
                      <w:rFonts w:hint="eastAsia"/>
                      <w:snapToGrid w:val="0"/>
                      <w:color w:val="auto"/>
                      <w:sz w:val="21"/>
                      <w:szCs w:val="21"/>
                      <w:highlight w:val="none"/>
                      <w:lang w:val="en-US" w:eastAsia="zh-CN"/>
                    </w:rPr>
                    <w:t>189</w:t>
                  </w:r>
                </w:p>
              </w:tc>
              <w:tc>
                <w:tcPr>
                  <w:tcW w:w="528" w:type="pct"/>
                  <w:noWrap w:val="0"/>
                  <w:vAlign w:val="center"/>
                </w:tcPr>
                <w:p w14:paraId="3698DF4C">
                  <w:pPr>
                    <w:spacing w:line="240" w:lineRule="auto"/>
                    <w:ind w:firstLine="0" w:firstLineChars="0"/>
                    <w:jc w:val="center"/>
                    <w:rPr>
                      <w:snapToGrid w:val="0"/>
                      <w:color w:val="auto"/>
                      <w:sz w:val="21"/>
                      <w:szCs w:val="21"/>
                      <w:highlight w:val="none"/>
                    </w:rPr>
                  </w:pPr>
                  <w:r>
                    <w:rPr>
                      <w:snapToGrid w:val="0"/>
                      <w:color w:val="auto"/>
                      <w:sz w:val="21"/>
                      <w:szCs w:val="21"/>
                      <w:highlight w:val="none"/>
                    </w:rPr>
                    <w:t>路基</w:t>
                  </w:r>
                </w:p>
              </w:tc>
              <w:tc>
                <w:tcPr>
                  <w:tcW w:w="560" w:type="pct"/>
                  <w:noWrap w:val="0"/>
                  <w:vAlign w:val="center"/>
                </w:tcPr>
                <w:p w14:paraId="645F51FB">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道路</w:t>
                  </w:r>
                  <w:r>
                    <w:rPr>
                      <w:rFonts w:hint="eastAsia"/>
                      <w:snapToGrid w:val="0"/>
                      <w:color w:val="auto"/>
                      <w:sz w:val="21"/>
                      <w:szCs w:val="21"/>
                      <w:highlight w:val="none"/>
                      <w:lang w:val="en-US" w:eastAsia="zh-CN"/>
                    </w:rPr>
                    <w:t>右</w:t>
                  </w:r>
                  <w:r>
                    <w:rPr>
                      <w:rFonts w:hint="eastAsia"/>
                      <w:snapToGrid w:val="0"/>
                      <w:color w:val="auto"/>
                      <w:sz w:val="21"/>
                      <w:szCs w:val="21"/>
                      <w:highlight w:val="none"/>
                    </w:rPr>
                    <w:t>侧</w:t>
                  </w:r>
                </w:p>
              </w:tc>
              <w:tc>
                <w:tcPr>
                  <w:tcW w:w="765" w:type="pct"/>
                  <w:noWrap w:val="0"/>
                  <w:vAlign w:val="center"/>
                </w:tcPr>
                <w:p w14:paraId="6159B372">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0.1</w:t>
                  </w:r>
                  <w:r>
                    <w:rPr>
                      <w:snapToGrid w:val="0"/>
                      <w:color w:val="auto"/>
                      <w:sz w:val="21"/>
                      <w:szCs w:val="21"/>
                      <w:highlight w:val="none"/>
                    </w:rPr>
                    <w:t>~</w:t>
                  </w:r>
                  <w:r>
                    <w:rPr>
                      <w:rFonts w:hint="eastAsia"/>
                      <w:snapToGrid w:val="0"/>
                      <w:color w:val="auto"/>
                      <w:sz w:val="21"/>
                      <w:szCs w:val="21"/>
                      <w:highlight w:val="none"/>
                      <w:lang w:val="en-US" w:eastAsia="zh-CN"/>
                    </w:rPr>
                    <w:t>0.8</w:t>
                  </w:r>
                </w:p>
              </w:tc>
              <w:tc>
                <w:tcPr>
                  <w:tcW w:w="390" w:type="pct"/>
                  <w:tcBorders>
                    <w:top w:val="single" w:color="auto" w:sz="4" w:space="0"/>
                    <w:bottom w:val="single" w:color="auto" w:sz="4" w:space="0"/>
                  </w:tcBorders>
                  <w:noWrap w:val="0"/>
                  <w:vAlign w:val="center"/>
                </w:tcPr>
                <w:p w14:paraId="7AA48327">
                  <w:pPr>
                    <w:spacing w:line="240" w:lineRule="auto"/>
                    <w:ind w:firstLine="0" w:firstLineChars="0"/>
                    <w:jc w:val="center"/>
                    <w:rPr>
                      <w:rFonts w:hint="eastAsia" w:eastAsia="宋体"/>
                      <w:snapToGrid w:val="0"/>
                      <w:color w:val="auto"/>
                      <w:sz w:val="21"/>
                      <w:szCs w:val="21"/>
                      <w:highlight w:val="none"/>
                      <w:lang w:eastAsia="zh-CN"/>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8</w:t>
                  </w:r>
                  <w:r>
                    <w:rPr>
                      <w:rFonts w:hint="eastAsia"/>
                      <w:snapToGrid w:val="0"/>
                      <w:color w:val="auto"/>
                      <w:sz w:val="21"/>
                      <w:szCs w:val="21"/>
                      <w:highlight w:val="none"/>
                    </w:rPr>
                    <w:t>/改后</w:t>
                  </w:r>
                  <w:r>
                    <w:rPr>
                      <w:rFonts w:hint="eastAsia"/>
                      <w:snapToGrid w:val="0"/>
                      <w:color w:val="auto"/>
                      <w:sz w:val="21"/>
                      <w:szCs w:val="21"/>
                      <w:highlight w:val="none"/>
                      <w:lang w:val="en-US" w:eastAsia="zh-CN"/>
                    </w:rPr>
                    <w:t>8</w:t>
                  </w:r>
                </w:p>
              </w:tc>
              <w:tc>
                <w:tcPr>
                  <w:tcW w:w="659" w:type="pct"/>
                  <w:tcBorders>
                    <w:bottom w:val="single" w:color="auto" w:sz="4" w:space="0"/>
                  </w:tcBorders>
                  <w:noWrap w:val="0"/>
                  <w:vAlign w:val="center"/>
                </w:tcPr>
                <w:p w14:paraId="66FCB451">
                  <w:pPr>
                    <w:spacing w:line="240" w:lineRule="auto"/>
                    <w:ind w:firstLine="0" w:firstLineChars="0"/>
                    <w:jc w:val="center"/>
                    <w:rPr>
                      <w:rFonts w:hint="default" w:eastAsia="宋体"/>
                      <w:color w:val="auto"/>
                      <w:sz w:val="21"/>
                      <w:szCs w:val="21"/>
                      <w:highlight w:val="none"/>
                      <w:lang w:val="en-US" w:eastAsia="zh-CN"/>
                    </w:rPr>
                  </w:pPr>
                  <w:r>
                    <w:rPr>
                      <w:rFonts w:hint="eastAsia"/>
                      <w:snapToGrid w:val="0"/>
                      <w:color w:val="auto"/>
                      <w:sz w:val="21"/>
                      <w:szCs w:val="21"/>
                      <w:highlight w:val="none"/>
                    </w:rPr>
                    <w:t>改前1</w:t>
                  </w:r>
                  <w:r>
                    <w:rPr>
                      <w:rFonts w:hint="eastAsia"/>
                      <w:snapToGrid w:val="0"/>
                      <w:color w:val="auto"/>
                      <w:sz w:val="21"/>
                      <w:szCs w:val="21"/>
                      <w:highlight w:val="none"/>
                      <w:lang w:val="en-US" w:eastAsia="zh-CN"/>
                    </w:rPr>
                    <w:t>4</w:t>
                  </w:r>
                  <w:r>
                    <w:rPr>
                      <w:rFonts w:hint="eastAsia"/>
                      <w:snapToGrid w:val="0"/>
                      <w:color w:val="auto"/>
                      <w:sz w:val="21"/>
                      <w:szCs w:val="21"/>
                      <w:highlight w:val="none"/>
                    </w:rPr>
                    <w:t>/改后</w:t>
                  </w:r>
                  <w:r>
                    <w:rPr>
                      <w:rFonts w:hint="eastAsia"/>
                      <w:snapToGrid w:val="0"/>
                      <w:color w:val="auto"/>
                      <w:sz w:val="21"/>
                      <w:szCs w:val="21"/>
                      <w:highlight w:val="none"/>
                      <w:lang w:val="en-US" w:eastAsia="zh-CN"/>
                    </w:rPr>
                    <w:t>14</w:t>
                  </w:r>
                </w:p>
              </w:tc>
              <w:tc>
                <w:tcPr>
                  <w:tcW w:w="215" w:type="pct"/>
                  <w:tcBorders>
                    <w:top w:val="single" w:color="auto" w:sz="4" w:space="0"/>
                  </w:tcBorders>
                  <w:noWrap w:val="0"/>
                  <w:vAlign w:val="center"/>
                </w:tcPr>
                <w:p w14:paraId="61BC97B1">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lang w:val="en-US" w:eastAsia="zh-CN"/>
                    </w:rPr>
                    <w:t>38</w:t>
                  </w:r>
                  <w:r>
                    <w:rPr>
                      <w:rFonts w:hint="eastAsia"/>
                      <w:snapToGrid w:val="0"/>
                      <w:color w:val="auto"/>
                      <w:sz w:val="21"/>
                      <w:szCs w:val="21"/>
                      <w:highlight w:val="none"/>
                    </w:rPr>
                    <w:t>户</w:t>
                  </w:r>
                </w:p>
              </w:tc>
              <w:tc>
                <w:tcPr>
                  <w:tcW w:w="528" w:type="pct"/>
                  <w:noWrap w:val="0"/>
                  <w:vAlign w:val="center"/>
                </w:tcPr>
                <w:p w14:paraId="711DA81A">
                  <w:pPr>
                    <w:spacing w:line="240" w:lineRule="auto"/>
                    <w:ind w:firstLine="0" w:firstLineChars="0"/>
                    <w:jc w:val="center"/>
                    <w:rPr>
                      <w:snapToGrid w:val="0"/>
                      <w:color w:val="auto"/>
                      <w:sz w:val="21"/>
                      <w:szCs w:val="21"/>
                      <w:highlight w:val="none"/>
                    </w:rPr>
                  </w:pPr>
                  <w:r>
                    <w:rPr>
                      <w:snapToGrid w:val="0"/>
                      <w:color w:val="auto"/>
                      <w:sz w:val="21"/>
                      <w:szCs w:val="21"/>
                      <w:highlight w:val="none"/>
                    </w:rPr>
                    <w:t>砖混结构/1层/侧对</w:t>
                  </w:r>
                </w:p>
              </w:tc>
            </w:tr>
            <w:tr w14:paraId="48016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25" w:hRule="atLeast"/>
                <w:tblHeader/>
                <w:jc w:val="center"/>
              </w:trPr>
              <w:tc>
                <w:tcPr>
                  <w:tcW w:w="211" w:type="pct"/>
                  <w:vMerge w:val="restart"/>
                  <w:noWrap w:val="0"/>
                  <w:vAlign w:val="center"/>
                </w:tcPr>
                <w:p w14:paraId="5CD4B619">
                  <w:pPr>
                    <w:spacing w:line="240" w:lineRule="auto"/>
                    <w:ind w:firstLine="0" w:firstLineChars="0"/>
                    <w:jc w:val="center"/>
                    <w:rPr>
                      <w:snapToGrid w:val="0"/>
                      <w:color w:val="auto"/>
                      <w:sz w:val="21"/>
                      <w:szCs w:val="21"/>
                      <w:highlight w:val="none"/>
                    </w:rPr>
                  </w:pPr>
                  <w:r>
                    <w:rPr>
                      <w:snapToGrid w:val="0"/>
                      <w:color w:val="auto"/>
                      <w:sz w:val="21"/>
                      <w:szCs w:val="21"/>
                      <w:highlight w:val="none"/>
                    </w:rPr>
                    <w:t>2</w:t>
                  </w:r>
                </w:p>
              </w:tc>
              <w:tc>
                <w:tcPr>
                  <w:tcW w:w="447" w:type="pct"/>
                  <w:vMerge w:val="restart"/>
                  <w:noWrap w:val="0"/>
                  <w:vAlign w:val="center"/>
                </w:tcPr>
                <w:p w14:paraId="14784860">
                  <w:pPr>
                    <w:spacing w:line="240" w:lineRule="auto"/>
                    <w:ind w:firstLine="0" w:firstLineChars="0"/>
                    <w:jc w:val="center"/>
                    <w:rPr>
                      <w:rFonts w:hint="eastAsia" w:eastAsia="宋体"/>
                      <w:snapToGrid w:val="0"/>
                      <w:color w:val="auto"/>
                      <w:sz w:val="21"/>
                      <w:szCs w:val="21"/>
                      <w:highlight w:val="none"/>
                      <w:lang w:eastAsia="zh-CN"/>
                    </w:rPr>
                  </w:pPr>
                  <w:r>
                    <w:rPr>
                      <w:rFonts w:hint="eastAsia"/>
                      <w:snapToGrid w:val="0"/>
                      <w:color w:val="auto"/>
                      <w:sz w:val="21"/>
                      <w:szCs w:val="21"/>
                      <w:highlight w:val="none"/>
                      <w:lang w:val="en-US" w:eastAsia="zh-CN"/>
                    </w:rPr>
                    <w:t>程家油坊</w:t>
                  </w:r>
                </w:p>
              </w:tc>
              <w:tc>
                <w:tcPr>
                  <w:tcW w:w="693" w:type="pct"/>
                  <w:vMerge w:val="restart"/>
                  <w:noWrap w:val="0"/>
                  <w:vAlign w:val="center"/>
                </w:tcPr>
                <w:p w14:paraId="7F8F4037">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rPr>
                    <w:t>K</w:t>
                  </w:r>
                  <w:r>
                    <w:rPr>
                      <w:rFonts w:hint="eastAsia"/>
                      <w:snapToGrid w:val="0"/>
                      <w:color w:val="auto"/>
                      <w:sz w:val="21"/>
                      <w:szCs w:val="21"/>
                      <w:highlight w:val="none"/>
                      <w:lang w:val="en-US" w:eastAsia="zh-CN"/>
                    </w:rPr>
                    <w:t>1</w:t>
                  </w:r>
                  <w:r>
                    <w:rPr>
                      <w:snapToGrid w:val="0"/>
                      <w:color w:val="auto"/>
                      <w:sz w:val="21"/>
                      <w:szCs w:val="21"/>
                      <w:highlight w:val="none"/>
                    </w:rPr>
                    <w:t>+</w:t>
                  </w:r>
                  <w:r>
                    <w:rPr>
                      <w:rFonts w:hint="eastAsia"/>
                      <w:snapToGrid w:val="0"/>
                      <w:color w:val="auto"/>
                      <w:sz w:val="21"/>
                      <w:szCs w:val="21"/>
                      <w:highlight w:val="none"/>
                      <w:lang w:val="en-US" w:eastAsia="zh-CN"/>
                    </w:rPr>
                    <w:t>348</w:t>
                  </w:r>
                  <w:r>
                    <w:rPr>
                      <w:snapToGrid w:val="0"/>
                      <w:color w:val="auto"/>
                      <w:sz w:val="21"/>
                      <w:szCs w:val="21"/>
                      <w:highlight w:val="none"/>
                    </w:rPr>
                    <w:t>~K</w:t>
                  </w:r>
                  <w:r>
                    <w:rPr>
                      <w:rFonts w:hint="eastAsia"/>
                      <w:snapToGrid w:val="0"/>
                      <w:color w:val="auto"/>
                      <w:sz w:val="21"/>
                      <w:szCs w:val="21"/>
                      <w:highlight w:val="none"/>
                      <w:lang w:val="en-US" w:eastAsia="zh-CN"/>
                    </w:rPr>
                    <w:t>1</w:t>
                  </w:r>
                  <w:r>
                    <w:rPr>
                      <w:snapToGrid w:val="0"/>
                      <w:color w:val="auto"/>
                      <w:sz w:val="21"/>
                      <w:szCs w:val="21"/>
                      <w:highlight w:val="none"/>
                    </w:rPr>
                    <w:t>+</w:t>
                  </w:r>
                  <w:r>
                    <w:rPr>
                      <w:rFonts w:hint="eastAsia"/>
                      <w:snapToGrid w:val="0"/>
                      <w:color w:val="auto"/>
                      <w:sz w:val="21"/>
                      <w:szCs w:val="21"/>
                      <w:highlight w:val="none"/>
                      <w:lang w:val="en-US" w:eastAsia="zh-CN"/>
                    </w:rPr>
                    <w:t>620</w:t>
                  </w:r>
                </w:p>
              </w:tc>
              <w:tc>
                <w:tcPr>
                  <w:tcW w:w="528" w:type="pct"/>
                  <w:vMerge w:val="restart"/>
                  <w:noWrap w:val="0"/>
                  <w:vAlign w:val="center"/>
                </w:tcPr>
                <w:p w14:paraId="3BE39C70">
                  <w:pPr>
                    <w:spacing w:line="240" w:lineRule="auto"/>
                    <w:ind w:firstLine="0" w:firstLineChars="0"/>
                    <w:jc w:val="center"/>
                    <w:rPr>
                      <w:snapToGrid w:val="0"/>
                      <w:color w:val="auto"/>
                      <w:sz w:val="21"/>
                      <w:szCs w:val="21"/>
                      <w:highlight w:val="none"/>
                    </w:rPr>
                  </w:pPr>
                  <w:r>
                    <w:rPr>
                      <w:snapToGrid w:val="0"/>
                      <w:color w:val="auto"/>
                      <w:sz w:val="21"/>
                      <w:szCs w:val="21"/>
                      <w:highlight w:val="none"/>
                    </w:rPr>
                    <w:t>路基</w:t>
                  </w:r>
                </w:p>
              </w:tc>
              <w:tc>
                <w:tcPr>
                  <w:tcW w:w="560" w:type="pct"/>
                  <w:noWrap w:val="0"/>
                  <w:vAlign w:val="center"/>
                </w:tcPr>
                <w:p w14:paraId="1728FCAE">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道路左侧</w:t>
                  </w:r>
                </w:p>
              </w:tc>
              <w:tc>
                <w:tcPr>
                  <w:tcW w:w="765" w:type="pct"/>
                  <w:vMerge w:val="restart"/>
                  <w:noWrap w:val="0"/>
                  <w:vAlign w:val="center"/>
                </w:tcPr>
                <w:p w14:paraId="4A9CEDB1">
                  <w:pPr>
                    <w:spacing w:line="240" w:lineRule="auto"/>
                    <w:ind w:firstLine="0" w:firstLineChars="0"/>
                    <w:jc w:val="center"/>
                    <w:rPr>
                      <w:rFonts w:hint="eastAsia"/>
                      <w:snapToGrid w:val="0"/>
                      <w:color w:val="auto"/>
                      <w:sz w:val="21"/>
                      <w:szCs w:val="21"/>
                      <w:highlight w:val="none"/>
                    </w:rPr>
                  </w:pPr>
                  <w:r>
                    <w:rPr>
                      <w:snapToGrid w:val="0"/>
                      <w:color w:val="auto"/>
                      <w:sz w:val="21"/>
                      <w:szCs w:val="21"/>
                      <w:highlight w:val="none"/>
                    </w:rPr>
                    <w:t>0.2~0.6</w:t>
                  </w:r>
                </w:p>
              </w:tc>
              <w:tc>
                <w:tcPr>
                  <w:tcW w:w="390" w:type="pct"/>
                  <w:tcBorders>
                    <w:top w:val="single" w:color="auto" w:sz="4" w:space="0"/>
                    <w:bottom w:val="single" w:color="auto" w:sz="4" w:space="0"/>
                  </w:tcBorders>
                  <w:noWrap w:val="0"/>
                  <w:vAlign w:val="center"/>
                </w:tcPr>
                <w:p w14:paraId="5A9AF60A">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2</w:t>
                  </w:r>
                  <w:r>
                    <w:rPr>
                      <w:snapToGrid w:val="0"/>
                      <w:color w:val="auto"/>
                      <w:sz w:val="21"/>
                      <w:szCs w:val="21"/>
                      <w:highlight w:val="none"/>
                    </w:rPr>
                    <w:t>/</w:t>
                  </w:r>
                  <w:r>
                    <w:rPr>
                      <w:rFonts w:hint="eastAsia"/>
                      <w:snapToGrid w:val="0"/>
                      <w:color w:val="auto"/>
                      <w:sz w:val="21"/>
                      <w:szCs w:val="21"/>
                      <w:highlight w:val="none"/>
                    </w:rPr>
                    <w:t>改后</w:t>
                  </w:r>
                  <w:r>
                    <w:rPr>
                      <w:snapToGrid w:val="0"/>
                      <w:color w:val="auto"/>
                      <w:sz w:val="21"/>
                      <w:szCs w:val="21"/>
                      <w:highlight w:val="none"/>
                    </w:rPr>
                    <w:t>2</w:t>
                  </w:r>
                </w:p>
              </w:tc>
              <w:tc>
                <w:tcPr>
                  <w:tcW w:w="659" w:type="pct"/>
                  <w:tcBorders>
                    <w:bottom w:val="single" w:color="auto" w:sz="4" w:space="0"/>
                  </w:tcBorders>
                  <w:noWrap w:val="0"/>
                  <w:vAlign w:val="center"/>
                </w:tcPr>
                <w:p w14:paraId="2489BB4E">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rPr>
                    <w:t>改前</w:t>
                  </w:r>
                  <w:r>
                    <w:rPr>
                      <w:rFonts w:hint="eastAsia"/>
                      <w:color w:val="auto"/>
                      <w:sz w:val="21"/>
                      <w:szCs w:val="21"/>
                      <w:highlight w:val="none"/>
                      <w:lang w:val="en-US" w:eastAsia="zh-CN"/>
                    </w:rPr>
                    <w:t>6</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6</w:t>
                  </w:r>
                </w:p>
              </w:tc>
              <w:tc>
                <w:tcPr>
                  <w:tcW w:w="215" w:type="pct"/>
                  <w:tcBorders>
                    <w:top w:val="single" w:color="auto" w:sz="4" w:space="0"/>
                  </w:tcBorders>
                  <w:noWrap w:val="0"/>
                  <w:vAlign w:val="center"/>
                </w:tcPr>
                <w:p w14:paraId="1E9AB850">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lang w:val="en-US" w:eastAsia="zh-CN"/>
                    </w:rPr>
                    <w:t>36</w:t>
                  </w:r>
                  <w:r>
                    <w:rPr>
                      <w:rFonts w:hint="eastAsia"/>
                      <w:snapToGrid w:val="0"/>
                      <w:color w:val="auto"/>
                      <w:sz w:val="21"/>
                      <w:szCs w:val="21"/>
                      <w:highlight w:val="none"/>
                    </w:rPr>
                    <w:t>户</w:t>
                  </w:r>
                </w:p>
              </w:tc>
              <w:tc>
                <w:tcPr>
                  <w:tcW w:w="528" w:type="pct"/>
                  <w:noWrap w:val="0"/>
                  <w:vAlign w:val="center"/>
                </w:tcPr>
                <w:p w14:paraId="1F64ACC0">
                  <w:pPr>
                    <w:spacing w:line="240" w:lineRule="auto"/>
                    <w:ind w:firstLine="0" w:firstLineChars="0"/>
                    <w:jc w:val="center"/>
                    <w:rPr>
                      <w:rFonts w:hint="eastAsia"/>
                      <w:snapToGrid w:val="0"/>
                      <w:color w:val="auto"/>
                      <w:sz w:val="21"/>
                      <w:szCs w:val="21"/>
                      <w:highlight w:val="none"/>
                    </w:rPr>
                  </w:pPr>
                  <w:r>
                    <w:rPr>
                      <w:snapToGrid w:val="0"/>
                      <w:color w:val="auto"/>
                      <w:sz w:val="21"/>
                      <w:szCs w:val="21"/>
                      <w:highlight w:val="none"/>
                    </w:rPr>
                    <w:t>砖混结构/1层/</w:t>
                  </w:r>
                  <w:r>
                    <w:rPr>
                      <w:rFonts w:hint="eastAsia"/>
                      <w:snapToGrid w:val="0"/>
                      <w:color w:val="auto"/>
                      <w:sz w:val="21"/>
                      <w:szCs w:val="21"/>
                      <w:highlight w:val="none"/>
                    </w:rPr>
                    <w:t>侧对</w:t>
                  </w:r>
                </w:p>
              </w:tc>
            </w:tr>
            <w:tr w14:paraId="268D8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7" w:hRule="atLeast"/>
                <w:tblHeader/>
                <w:jc w:val="center"/>
              </w:trPr>
              <w:tc>
                <w:tcPr>
                  <w:tcW w:w="211" w:type="pct"/>
                  <w:vMerge w:val="continue"/>
                  <w:noWrap w:val="0"/>
                  <w:vAlign w:val="center"/>
                </w:tcPr>
                <w:p w14:paraId="43B6E20A">
                  <w:pPr>
                    <w:spacing w:line="240" w:lineRule="auto"/>
                    <w:ind w:firstLine="0" w:firstLineChars="0"/>
                    <w:jc w:val="center"/>
                    <w:rPr>
                      <w:snapToGrid w:val="0"/>
                      <w:color w:val="auto"/>
                      <w:sz w:val="21"/>
                      <w:szCs w:val="21"/>
                      <w:highlight w:val="none"/>
                    </w:rPr>
                  </w:pPr>
                </w:p>
              </w:tc>
              <w:tc>
                <w:tcPr>
                  <w:tcW w:w="447" w:type="pct"/>
                  <w:vMerge w:val="continue"/>
                  <w:noWrap w:val="0"/>
                  <w:vAlign w:val="center"/>
                </w:tcPr>
                <w:p w14:paraId="3A0DFE62">
                  <w:pPr>
                    <w:spacing w:line="240" w:lineRule="auto"/>
                    <w:ind w:firstLine="0" w:firstLineChars="0"/>
                    <w:jc w:val="center"/>
                    <w:rPr>
                      <w:rFonts w:hint="eastAsia"/>
                      <w:snapToGrid w:val="0"/>
                      <w:color w:val="auto"/>
                      <w:sz w:val="21"/>
                      <w:szCs w:val="21"/>
                      <w:highlight w:val="none"/>
                      <w:lang w:val="en-US" w:eastAsia="zh-CN"/>
                    </w:rPr>
                  </w:pPr>
                </w:p>
              </w:tc>
              <w:tc>
                <w:tcPr>
                  <w:tcW w:w="693" w:type="pct"/>
                  <w:vMerge w:val="continue"/>
                  <w:noWrap w:val="0"/>
                  <w:vAlign w:val="center"/>
                </w:tcPr>
                <w:p w14:paraId="4EBA4246">
                  <w:pPr>
                    <w:spacing w:line="240" w:lineRule="auto"/>
                    <w:ind w:firstLine="0" w:firstLineChars="0"/>
                    <w:jc w:val="center"/>
                    <w:rPr>
                      <w:rFonts w:hint="eastAsia"/>
                      <w:snapToGrid w:val="0"/>
                      <w:color w:val="auto"/>
                      <w:sz w:val="21"/>
                      <w:szCs w:val="21"/>
                      <w:highlight w:val="none"/>
                    </w:rPr>
                  </w:pPr>
                </w:p>
              </w:tc>
              <w:tc>
                <w:tcPr>
                  <w:tcW w:w="528" w:type="pct"/>
                  <w:vMerge w:val="continue"/>
                  <w:noWrap w:val="0"/>
                  <w:vAlign w:val="center"/>
                </w:tcPr>
                <w:p w14:paraId="073324BE">
                  <w:pPr>
                    <w:spacing w:line="240" w:lineRule="auto"/>
                    <w:ind w:firstLine="0" w:firstLineChars="0"/>
                    <w:jc w:val="center"/>
                    <w:rPr>
                      <w:snapToGrid w:val="0"/>
                      <w:color w:val="auto"/>
                      <w:sz w:val="21"/>
                      <w:szCs w:val="21"/>
                      <w:highlight w:val="none"/>
                    </w:rPr>
                  </w:pPr>
                </w:p>
              </w:tc>
              <w:tc>
                <w:tcPr>
                  <w:tcW w:w="560" w:type="pct"/>
                  <w:noWrap w:val="0"/>
                  <w:vAlign w:val="center"/>
                </w:tcPr>
                <w:p w14:paraId="0CC0E419">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道路右侧</w:t>
                  </w:r>
                </w:p>
              </w:tc>
              <w:tc>
                <w:tcPr>
                  <w:tcW w:w="765" w:type="pct"/>
                  <w:vMerge w:val="continue"/>
                  <w:noWrap w:val="0"/>
                  <w:vAlign w:val="center"/>
                </w:tcPr>
                <w:p w14:paraId="2A34C333">
                  <w:pPr>
                    <w:spacing w:line="240" w:lineRule="auto"/>
                    <w:ind w:firstLine="0" w:firstLineChars="0"/>
                    <w:jc w:val="center"/>
                    <w:rPr>
                      <w:rFonts w:hint="eastAsia"/>
                      <w:snapToGrid w:val="0"/>
                      <w:color w:val="auto"/>
                      <w:sz w:val="21"/>
                      <w:szCs w:val="21"/>
                      <w:highlight w:val="none"/>
                    </w:rPr>
                  </w:pPr>
                </w:p>
              </w:tc>
              <w:tc>
                <w:tcPr>
                  <w:tcW w:w="390" w:type="pct"/>
                  <w:tcBorders>
                    <w:top w:val="single" w:color="auto" w:sz="4" w:space="0"/>
                    <w:bottom w:val="single" w:color="auto" w:sz="4" w:space="0"/>
                  </w:tcBorders>
                  <w:noWrap w:val="0"/>
                  <w:vAlign w:val="center"/>
                </w:tcPr>
                <w:p w14:paraId="3A351F3A">
                  <w:pPr>
                    <w:spacing w:line="240" w:lineRule="auto"/>
                    <w:ind w:firstLine="0" w:firstLineChars="0"/>
                    <w:jc w:val="center"/>
                    <w:rPr>
                      <w:rFonts w:hint="eastAsia" w:eastAsia="宋体"/>
                      <w:snapToGrid w:val="0"/>
                      <w:color w:val="auto"/>
                      <w:sz w:val="21"/>
                      <w:szCs w:val="21"/>
                      <w:highlight w:val="none"/>
                      <w:lang w:eastAsia="zh-CN"/>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3</w:t>
                  </w:r>
                  <w:r>
                    <w:rPr>
                      <w:snapToGrid w:val="0"/>
                      <w:color w:val="auto"/>
                      <w:sz w:val="21"/>
                      <w:szCs w:val="21"/>
                      <w:highlight w:val="none"/>
                    </w:rPr>
                    <w:t>/</w:t>
                  </w:r>
                  <w:r>
                    <w:rPr>
                      <w:rFonts w:hint="eastAsia"/>
                      <w:snapToGrid w:val="0"/>
                      <w:color w:val="auto"/>
                      <w:sz w:val="21"/>
                      <w:szCs w:val="21"/>
                      <w:highlight w:val="none"/>
                    </w:rPr>
                    <w:t>改后</w:t>
                  </w:r>
                  <w:r>
                    <w:rPr>
                      <w:rFonts w:hint="eastAsia"/>
                      <w:snapToGrid w:val="0"/>
                      <w:color w:val="auto"/>
                      <w:sz w:val="21"/>
                      <w:szCs w:val="21"/>
                      <w:highlight w:val="none"/>
                      <w:lang w:val="en-US" w:eastAsia="zh-CN"/>
                    </w:rPr>
                    <w:t>3</w:t>
                  </w:r>
                </w:p>
              </w:tc>
              <w:tc>
                <w:tcPr>
                  <w:tcW w:w="659" w:type="pct"/>
                  <w:tcBorders>
                    <w:bottom w:val="single" w:color="auto" w:sz="4" w:space="0"/>
                  </w:tcBorders>
                  <w:noWrap w:val="0"/>
                  <w:vAlign w:val="center"/>
                </w:tcPr>
                <w:p w14:paraId="4DA6D4F1">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改前</w:t>
                  </w:r>
                  <w:r>
                    <w:rPr>
                      <w:rFonts w:hint="eastAsia"/>
                      <w:color w:val="auto"/>
                      <w:sz w:val="21"/>
                      <w:szCs w:val="21"/>
                      <w:highlight w:val="none"/>
                      <w:lang w:val="en-US" w:eastAsia="zh-CN"/>
                    </w:rPr>
                    <w:t>8</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8</w:t>
                  </w:r>
                </w:p>
              </w:tc>
              <w:tc>
                <w:tcPr>
                  <w:tcW w:w="215" w:type="pct"/>
                  <w:tcBorders>
                    <w:top w:val="single" w:color="auto" w:sz="4" w:space="0"/>
                  </w:tcBorders>
                  <w:noWrap w:val="0"/>
                  <w:vAlign w:val="center"/>
                </w:tcPr>
                <w:p w14:paraId="34F1F0B6">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lang w:val="en-US" w:eastAsia="zh-CN"/>
                    </w:rPr>
                    <w:t>38</w:t>
                  </w:r>
                  <w:r>
                    <w:rPr>
                      <w:rFonts w:hint="eastAsia"/>
                      <w:snapToGrid w:val="0"/>
                      <w:color w:val="auto"/>
                      <w:sz w:val="21"/>
                      <w:szCs w:val="21"/>
                      <w:highlight w:val="none"/>
                    </w:rPr>
                    <w:t>户</w:t>
                  </w:r>
                </w:p>
              </w:tc>
              <w:tc>
                <w:tcPr>
                  <w:tcW w:w="528" w:type="pct"/>
                  <w:noWrap w:val="0"/>
                  <w:vAlign w:val="center"/>
                </w:tcPr>
                <w:p w14:paraId="7940F771">
                  <w:pPr>
                    <w:spacing w:line="240" w:lineRule="auto"/>
                    <w:ind w:firstLine="0" w:firstLineChars="0"/>
                    <w:jc w:val="center"/>
                    <w:rPr>
                      <w:snapToGrid w:val="0"/>
                      <w:color w:val="auto"/>
                      <w:sz w:val="21"/>
                      <w:szCs w:val="21"/>
                      <w:highlight w:val="none"/>
                    </w:rPr>
                  </w:pPr>
                  <w:r>
                    <w:rPr>
                      <w:snapToGrid w:val="0"/>
                      <w:color w:val="auto"/>
                      <w:sz w:val="21"/>
                      <w:szCs w:val="21"/>
                      <w:highlight w:val="none"/>
                    </w:rPr>
                    <w:t>砖混结构/1层/</w:t>
                  </w:r>
                  <w:r>
                    <w:rPr>
                      <w:rFonts w:hint="eastAsia"/>
                      <w:snapToGrid w:val="0"/>
                      <w:color w:val="auto"/>
                      <w:sz w:val="21"/>
                      <w:szCs w:val="21"/>
                      <w:highlight w:val="none"/>
                    </w:rPr>
                    <w:t>正对</w:t>
                  </w:r>
                </w:p>
              </w:tc>
            </w:tr>
            <w:tr w14:paraId="09FFA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noWrap w:val="0"/>
                  <w:vAlign w:val="center"/>
                </w:tcPr>
                <w:p w14:paraId="0726510B">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3</w:t>
                  </w:r>
                </w:p>
              </w:tc>
              <w:tc>
                <w:tcPr>
                  <w:tcW w:w="447" w:type="pct"/>
                  <w:noWrap w:val="0"/>
                  <w:vAlign w:val="center"/>
                </w:tcPr>
                <w:p w14:paraId="68579DB0">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老房屯</w:t>
                  </w:r>
                </w:p>
              </w:tc>
              <w:tc>
                <w:tcPr>
                  <w:tcW w:w="693" w:type="pct"/>
                  <w:noWrap w:val="0"/>
                  <w:vAlign w:val="center"/>
                </w:tcPr>
                <w:p w14:paraId="5C5FCEB5">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K</w:t>
                  </w:r>
                  <w:r>
                    <w:rPr>
                      <w:rFonts w:hint="eastAsia"/>
                      <w:snapToGrid w:val="0"/>
                      <w:color w:val="auto"/>
                      <w:sz w:val="21"/>
                      <w:szCs w:val="21"/>
                      <w:highlight w:val="none"/>
                      <w:lang w:val="en-US" w:eastAsia="zh-CN"/>
                    </w:rPr>
                    <w:t>3</w:t>
                  </w:r>
                  <w:r>
                    <w:rPr>
                      <w:snapToGrid w:val="0"/>
                      <w:color w:val="auto"/>
                      <w:sz w:val="21"/>
                      <w:szCs w:val="21"/>
                      <w:highlight w:val="none"/>
                    </w:rPr>
                    <w:t>+</w:t>
                  </w:r>
                  <w:r>
                    <w:rPr>
                      <w:rFonts w:hint="eastAsia"/>
                      <w:snapToGrid w:val="0"/>
                      <w:color w:val="auto"/>
                      <w:sz w:val="21"/>
                      <w:szCs w:val="21"/>
                      <w:highlight w:val="none"/>
                      <w:lang w:val="en-US" w:eastAsia="zh-CN"/>
                    </w:rPr>
                    <w:t>167</w:t>
                  </w:r>
                  <w:r>
                    <w:rPr>
                      <w:snapToGrid w:val="0"/>
                      <w:color w:val="auto"/>
                      <w:sz w:val="21"/>
                      <w:szCs w:val="21"/>
                      <w:highlight w:val="none"/>
                    </w:rPr>
                    <w:t>~K</w:t>
                  </w:r>
                  <w:r>
                    <w:rPr>
                      <w:rFonts w:hint="eastAsia"/>
                      <w:snapToGrid w:val="0"/>
                      <w:color w:val="auto"/>
                      <w:sz w:val="21"/>
                      <w:szCs w:val="21"/>
                      <w:highlight w:val="none"/>
                      <w:lang w:val="en-US" w:eastAsia="zh-CN"/>
                    </w:rPr>
                    <w:t>3</w:t>
                  </w:r>
                  <w:r>
                    <w:rPr>
                      <w:snapToGrid w:val="0"/>
                      <w:color w:val="auto"/>
                      <w:sz w:val="21"/>
                      <w:szCs w:val="21"/>
                      <w:highlight w:val="none"/>
                    </w:rPr>
                    <w:t>+</w:t>
                  </w:r>
                  <w:r>
                    <w:rPr>
                      <w:rFonts w:hint="eastAsia"/>
                      <w:snapToGrid w:val="0"/>
                      <w:color w:val="auto"/>
                      <w:sz w:val="21"/>
                      <w:szCs w:val="21"/>
                      <w:highlight w:val="none"/>
                      <w:lang w:val="en-US" w:eastAsia="zh-CN"/>
                    </w:rPr>
                    <w:t>424</w:t>
                  </w:r>
                </w:p>
              </w:tc>
              <w:tc>
                <w:tcPr>
                  <w:tcW w:w="528" w:type="pct"/>
                  <w:noWrap w:val="0"/>
                  <w:vAlign w:val="center"/>
                </w:tcPr>
                <w:p w14:paraId="747B4640">
                  <w:pPr>
                    <w:spacing w:line="240" w:lineRule="auto"/>
                    <w:ind w:firstLine="0" w:firstLineChars="0"/>
                    <w:jc w:val="center"/>
                    <w:rPr>
                      <w:snapToGrid w:val="0"/>
                      <w:color w:val="auto"/>
                      <w:sz w:val="21"/>
                      <w:szCs w:val="21"/>
                      <w:highlight w:val="none"/>
                    </w:rPr>
                  </w:pPr>
                  <w:r>
                    <w:rPr>
                      <w:snapToGrid w:val="0"/>
                      <w:color w:val="auto"/>
                      <w:sz w:val="21"/>
                      <w:szCs w:val="21"/>
                      <w:highlight w:val="none"/>
                    </w:rPr>
                    <w:t>路基</w:t>
                  </w:r>
                </w:p>
              </w:tc>
              <w:tc>
                <w:tcPr>
                  <w:tcW w:w="560" w:type="pct"/>
                  <w:noWrap w:val="0"/>
                  <w:vAlign w:val="center"/>
                </w:tcPr>
                <w:p w14:paraId="0A3DA25A">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道路</w:t>
                  </w:r>
                  <w:r>
                    <w:rPr>
                      <w:rFonts w:hint="eastAsia"/>
                      <w:snapToGrid w:val="0"/>
                      <w:color w:val="auto"/>
                      <w:sz w:val="21"/>
                      <w:szCs w:val="21"/>
                      <w:highlight w:val="none"/>
                      <w:lang w:val="en-US" w:eastAsia="zh-CN"/>
                    </w:rPr>
                    <w:t>右</w:t>
                  </w:r>
                  <w:r>
                    <w:rPr>
                      <w:rFonts w:hint="eastAsia"/>
                      <w:snapToGrid w:val="0"/>
                      <w:color w:val="auto"/>
                      <w:sz w:val="21"/>
                      <w:szCs w:val="21"/>
                      <w:highlight w:val="none"/>
                    </w:rPr>
                    <w:t>侧</w:t>
                  </w:r>
                </w:p>
              </w:tc>
              <w:tc>
                <w:tcPr>
                  <w:tcW w:w="765" w:type="pct"/>
                  <w:noWrap w:val="0"/>
                  <w:vAlign w:val="center"/>
                </w:tcPr>
                <w:p w14:paraId="6D6AD6CB">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0.2</w:t>
                  </w:r>
                  <w:r>
                    <w:rPr>
                      <w:snapToGrid w:val="0"/>
                      <w:color w:val="auto"/>
                      <w:sz w:val="21"/>
                      <w:szCs w:val="21"/>
                      <w:highlight w:val="none"/>
                    </w:rPr>
                    <w:t>~</w:t>
                  </w:r>
                  <w:r>
                    <w:rPr>
                      <w:rFonts w:hint="eastAsia"/>
                      <w:snapToGrid w:val="0"/>
                      <w:color w:val="auto"/>
                      <w:sz w:val="21"/>
                      <w:szCs w:val="21"/>
                      <w:highlight w:val="none"/>
                      <w:lang w:val="en-US" w:eastAsia="zh-CN"/>
                    </w:rPr>
                    <w:t>1.6</w:t>
                  </w:r>
                </w:p>
              </w:tc>
              <w:tc>
                <w:tcPr>
                  <w:tcW w:w="390" w:type="pct"/>
                  <w:noWrap w:val="0"/>
                  <w:vAlign w:val="center"/>
                </w:tcPr>
                <w:p w14:paraId="0D045B47">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17</w:t>
                  </w:r>
                  <w:r>
                    <w:rPr>
                      <w:snapToGrid w:val="0"/>
                      <w:color w:val="auto"/>
                      <w:sz w:val="21"/>
                      <w:szCs w:val="21"/>
                      <w:highlight w:val="none"/>
                    </w:rPr>
                    <w:t>/</w:t>
                  </w:r>
                  <w:r>
                    <w:rPr>
                      <w:rFonts w:hint="eastAsia"/>
                      <w:snapToGrid w:val="0"/>
                      <w:color w:val="auto"/>
                      <w:sz w:val="21"/>
                      <w:szCs w:val="21"/>
                      <w:highlight w:val="none"/>
                    </w:rPr>
                    <w:t>改后</w:t>
                  </w:r>
                  <w:r>
                    <w:rPr>
                      <w:rFonts w:hint="eastAsia"/>
                      <w:snapToGrid w:val="0"/>
                      <w:color w:val="auto"/>
                      <w:sz w:val="21"/>
                      <w:szCs w:val="21"/>
                      <w:highlight w:val="none"/>
                      <w:lang w:val="en-US" w:eastAsia="zh-CN"/>
                    </w:rPr>
                    <w:t>17</w:t>
                  </w:r>
                </w:p>
              </w:tc>
              <w:tc>
                <w:tcPr>
                  <w:tcW w:w="659" w:type="pct"/>
                  <w:noWrap w:val="0"/>
                  <w:vAlign w:val="center"/>
                </w:tcPr>
                <w:p w14:paraId="55D90F2C">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改前</w:t>
                  </w:r>
                  <w:r>
                    <w:rPr>
                      <w:rFonts w:hint="eastAsia"/>
                      <w:color w:val="auto"/>
                      <w:sz w:val="21"/>
                      <w:szCs w:val="21"/>
                      <w:highlight w:val="none"/>
                      <w:lang w:val="en-US" w:eastAsia="zh-CN"/>
                    </w:rPr>
                    <w:t>21</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21</w:t>
                  </w:r>
                </w:p>
              </w:tc>
              <w:tc>
                <w:tcPr>
                  <w:tcW w:w="215" w:type="pct"/>
                  <w:noWrap w:val="0"/>
                  <w:vAlign w:val="center"/>
                </w:tcPr>
                <w:p w14:paraId="638BBDD4">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lang w:val="en-US" w:eastAsia="zh-CN"/>
                    </w:rPr>
                    <w:t>32</w:t>
                  </w:r>
                  <w:r>
                    <w:rPr>
                      <w:rFonts w:hint="eastAsia"/>
                      <w:snapToGrid w:val="0"/>
                      <w:color w:val="auto"/>
                      <w:sz w:val="21"/>
                      <w:szCs w:val="21"/>
                      <w:highlight w:val="none"/>
                    </w:rPr>
                    <w:t>户</w:t>
                  </w:r>
                </w:p>
              </w:tc>
              <w:tc>
                <w:tcPr>
                  <w:tcW w:w="528" w:type="pct"/>
                  <w:noWrap w:val="0"/>
                  <w:vAlign w:val="center"/>
                </w:tcPr>
                <w:p w14:paraId="4AA33087">
                  <w:pPr>
                    <w:spacing w:line="240" w:lineRule="auto"/>
                    <w:ind w:firstLine="0" w:firstLineChars="0"/>
                    <w:jc w:val="center"/>
                    <w:rPr>
                      <w:rFonts w:hint="eastAsia"/>
                      <w:snapToGrid w:val="0"/>
                      <w:color w:val="auto"/>
                      <w:sz w:val="21"/>
                      <w:szCs w:val="21"/>
                      <w:highlight w:val="none"/>
                    </w:rPr>
                  </w:pPr>
                  <w:r>
                    <w:rPr>
                      <w:snapToGrid w:val="0"/>
                      <w:color w:val="auto"/>
                      <w:sz w:val="21"/>
                      <w:szCs w:val="21"/>
                      <w:highlight w:val="none"/>
                    </w:rPr>
                    <w:t>砖混结构/1层/</w:t>
                  </w:r>
                  <w:r>
                    <w:rPr>
                      <w:rFonts w:hint="eastAsia"/>
                      <w:snapToGrid w:val="0"/>
                      <w:color w:val="auto"/>
                      <w:sz w:val="21"/>
                      <w:szCs w:val="21"/>
                      <w:highlight w:val="none"/>
                    </w:rPr>
                    <w:t>正</w:t>
                  </w:r>
                  <w:r>
                    <w:rPr>
                      <w:snapToGrid w:val="0"/>
                      <w:color w:val="auto"/>
                      <w:sz w:val="21"/>
                      <w:szCs w:val="21"/>
                      <w:highlight w:val="none"/>
                    </w:rPr>
                    <w:t>对</w:t>
                  </w:r>
                </w:p>
              </w:tc>
            </w:tr>
            <w:tr w14:paraId="75065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noWrap w:val="0"/>
                  <w:vAlign w:val="center"/>
                </w:tcPr>
                <w:p w14:paraId="1778314F">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4</w:t>
                  </w:r>
                </w:p>
              </w:tc>
              <w:tc>
                <w:tcPr>
                  <w:tcW w:w="447" w:type="pct"/>
                  <w:noWrap w:val="0"/>
                  <w:vAlign w:val="center"/>
                </w:tcPr>
                <w:p w14:paraId="6C3C589C">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樊家窝棚</w:t>
                  </w:r>
                </w:p>
              </w:tc>
              <w:tc>
                <w:tcPr>
                  <w:tcW w:w="693" w:type="pct"/>
                  <w:noWrap w:val="0"/>
                  <w:vAlign w:val="center"/>
                </w:tcPr>
                <w:p w14:paraId="2E6E1507">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K</w:t>
                  </w:r>
                  <w:r>
                    <w:rPr>
                      <w:rFonts w:hint="eastAsia"/>
                      <w:snapToGrid w:val="0"/>
                      <w:color w:val="auto"/>
                      <w:sz w:val="21"/>
                      <w:szCs w:val="21"/>
                      <w:highlight w:val="none"/>
                      <w:lang w:val="en-US" w:eastAsia="zh-CN"/>
                    </w:rPr>
                    <w:t>6</w:t>
                  </w:r>
                  <w:r>
                    <w:rPr>
                      <w:snapToGrid w:val="0"/>
                      <w:color w:val="auto"/>
                      <w:sz w:val="21"/>
                      <w:szCs w:val="21"/>
                      <w:highlight w:val="none"/>
                    </w:rPr>
                    <w:t>+</w:t>
                  </w:r>
                  <w:r>
                    <w:rPr>
                      <w:rFonts w:hint="eastAsia"/>
                      <w:snapToGrid w:val="0"/>
                      <w:color w:val="auto"/>
                      <w:sz w:val="21"/>
                      <w:szCs w:val="21"/>
                      <w:highlight w:val="none"/>
                      <w:lang w:val="en-US" w:eastAsia="zh-CN"/>
                    </w:rPr>
                    <w:t>126</w:t>
                  </w:r>
                  <w:r>
                    <w:rPr>
                      <w:snapToGrid w:val="0"/>
                      <w:color w:val="auto"/>
                      <w:sz w:val="21"/>
                      <w:szCs w:val="21"/>
                      <w:highlight w:val="none"/>
                    </w:rPr>
                    <w:t>~K</w:t>
                  </w:r>
                  <w:r>
                    <w:rPr>
                      <w:rFonts w:hint="eastAsia"/>
                      <w:snapToGrid w:val="0"/>
                      <w:color w:val="auto"/>
                      <w:sz w:val="21"/>
                      <w:szCs w:val="21"/>
                      <w:highlight w:val="none"/>
                      <w:lang w:val="en-US" w:eastAsia="zh-CN"/>
                    </w:rPr>
                    <w:t>6</w:t>
                  </w:r>
                  <w:r>
                    <w:rPr>
                      <w:snapToGrid w:val="0"/>
                      <w:color w:val="auto"/>
                      <w:sz w:val="21"/>
                      <w:szCs w:val="21"/>
                      <w:highlight w:val="none"/>
                    </w:rPr>
                    <w:t>5+</w:t>
                  </w:r>
                  <w:r>
                    <w:rPr>
                      <w:rFonts w:hint="eastAsia"/>
                      <w:snapToGrid w:val="0"/>
                      <w:color w:val="auto"/>
                      <w:sz w:val="21"/>
                      <w:szCs w:val="21"/>
                      <w:highlight w:val="none"/>
                      <w:lang w:val="en-US" w:eastAsia="zh-CN"/>
                    </w:rPr>
                    <w:t>471</w:t>
                  </w:r>
                </w:p>
              </w:tc>
              <w:tc>
                <w:tcPr>
                  <w:tcW w:w="528" w:type="pct"/>
                  <w:noWrap w:val="0"/>
                  <w:vAlign w:val="center"/>
                </w:tcPr>
                <w:p w14:paraId="15006030">
                  <w:pPr>
                    <w:spacing w:line="240" w:lineRule="auto"/>
                    <w:ind w:firstLine="0" w:firstLineChars="0"/>
                    <w:jc w:val="center"/>
                    <w:rPr>
                      <w:snapToGrid w:val="0"/>
                      <w:color w:val="auto"/>
                      <w:sz w:val="21"/>
                      <w:szCs w:val="21"/>
                      <w:highlight w:val="none"/>
                    </w:rPr>
                  </w:pPr>
                  <w:r>
                    <w:rPr>
                      <w:snapToGrid w:val="0"/>
                      <w:color w:val="auto"/>
                      <w:sz w:val="21"/>
                      <w:szCs w:val="21"/>
                      <w:highlight w:val="none"/>
                    </w:rPr>
                    <w:t>路基</w:t>
                  </w:r>
                </w:p>
              </w:tc>
              <w:tc>
                <w:tcPr>
                  <w:tcW w:w="560" w:type="pct"/>
                  <w:noWrap w:val="0"/>
                  <w:vAlign w:val="center"/>
                </w:tcPr>
                <w:p w14:paraId="3CB6BD3D">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道路左侧</w:t>
                  </w:r>
                </w:p>
              </w:tc>
              <w:tc>
                <w:tcPr>
                  <w:tcW w:w="765" w:type="pct"/>
                  <w:noWrap w:val="0"/>
                  <w:vAlign w:val="center"/>
                </w:tcPr>
                <w:p w14:paraId="40B0ED4A">
                  <w:pPr>
                    <w:spacing w:line="240" w:lineRule="auto"/>
                    <w:ind w:firstLine="0" w:firstLineChars="0"/>
                    <w:jc w:val="center"/>
                    <w:rPr>
                      <w:rFonts w:hint="eastAsia" w:eastAsia="宋体"/>
                      <w:snapToGrid w:val="0"/>
                      <w:color w:val="auto"/>
                      <w:sz w:val="21"/>
                      <w:szCs w:val="21"/>
                      <w:highlight w:val="none"/>
                      <w:lang w:eastAsia="zh-CN"/>
                    </w:rPr>
                  </w:pPr>
                  <w:r>
                    <w:rPr>
                      <w:rFonts w:hint="eastAsia"/>
                      <w:snapToGrid w:val="0"/>
                      <w:color w:val="auto"/>
                      <w:sz w:val="21"/>
                      <w:szCs w:val="21"/>
                      <w:highlight w:val="none"/>
                      <w:lang w:val="en-US" w:eastAsia="zh-CN"/>
                    </w:rPr>
                    <w:t>-0.1</w:t>
                  </w:r>
                  <w:r>
                    <w:rPr>
                      <w:snapToGrid w:val="0"/>
                      <w:color w:val="auto"/>
                      <w:sz w:val="21"/>
                      <w:szCs w:val="21"/>
                      <w:highlight w:val="none"/>
                    </w:rPr>
                    <w:t>~</w:t>
                  </w:r>
                  <w:r>
                    <w:rPr>
                      <w:rFonts w:hint="eastAsia"/>
                      <w:snapToGrid w:val="0"/>
                      <w:color w:val="auto"/>
                      <w:sz w:val="21"/>
                      <w:szCs w:val="21"/>
                      <w:highlight w:val="none"/>
                      <w:lang w:val="en-US" w:eastAsia="zh-CN"/>
                    </w:rPr>
                    <w:t>-4</w:t>
                  </w:r>
                </w:p>
              </w:tc>
              <w:tc>
                <w:tcPr>
                  <w:tcW w:w="390" w:type="pct"/>
                  <w:noWrap w:val="0"/>
                  <w:vAlign w:val="center"/>
                </w:tcPr>
                <w:p w14:paraId="32773B0C">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2</w:t>
                  </w:r>
                  <w:r>
                    <w:rPr>
                      <w:snapToGrid w:val="0"/>
                      <w:color w:val="auto"/>
                      <w:sz w:val="21"/>
                      <w:szCs w:val="21"/>
                      <w:highlight w:val="none"/>
                    </w:rPr>
                    <w:t>/</w:t>
                  </w:r>
                  <w:r>
                    <w:rPr>
                      <w:rFonts w:hint="eastAsia"/>
                      <w:snapToGrid w:val="0"/>
                      <w:color w:val="auto"/>
                      <w:sz w:val="21"/>
                      <w:szCs w:val="21"/>
                      <w:highlight w:val="none"/>
                    </w:rPr>
                    <w:t>改后</w:t>
                  </w:r>
                  <w:r>
                    <w:rPr>
                      <w:snapToGrid w:val="0"/>
                      <w:color w:val="auto"/>
                      <w:sz w:val="21"/>
                      <w:szCs w:val="21"/>
                      <w:highlight w:val="none"/>
                    </w:rPr>
                    <w:t>2</w:t>
                  </w:r>
                </w:p>
              </w:tc>
              <w:tc>
                <w:tcPr>
                  <w:tcW w:w="659" w:type="pct"/>
                  <w:noWrap w:val="0"/>
                  <w:vAlign w:val="center"/>
                </w:tcPr>
                <w:p w14:paraId="7B7002DB">
                  <w:pPr>
                    <w:spacing w:line="240" w:lineRule="auto"/>
                    <w:ind w:firstLine="0" w:firstLineChars="0"/>
                    <w:jc w:val="center"/>
                    <w:rPr>
                      <w:color w:val="auto"/>
                      <w:sz w:val="21"/>
                      <w:szCs w:val="21"/>
                      <w:highlight w:val="none"/>
                    </w:rPr>
                  </w:pPr>
                  <w:r>
                    <w:rPr>
                      <w:rFonts w:hint="eastAsia"/>
                      <w:color w:val="auto"/>
                      <w:sz w:val="21"/>
                      <w:szCs w:val="21"/>
                      <w:highlight w:val="none"/>
                    </w:rPr>
                    <w:t>改前</w:t>
                  </w:r>
                  <w:r>
                    <w:rPr>
                      <w:rFonts w:hint="eastAsia"/>
                      <w:color w:val="auto"/>
                      <w:sz w:val="21"/>
                      <w:szCs w:val="21"/>
                      <w:highlight w:val="none"/>
                      <w:lang w:val="en-US" w:eastAsia="zh-CN"/>
                    </w:rPr>
                    <w:t>6</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6</w:t>
                  </w:r>
                </w:p>
              </w:tc>
              <w:tc>
                <w:tcPr>
                  <w:tcW w:w="215" w:type="pct"/>
                  <w:noWrap w:val="0"/>
                  <w:vAlign w:val="center"/>
                </w:tcPr>
                <w:p w14:paraId="464DE608">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lang w:val="en-US" w:eastAsia="zh-CN"/>
                    </w:rPr>
                    <w:t>54</w:t>
                  </w:r>
                  <w:r>
                    <w:rPr>
                      <w:rFonts w:hint="eastAsia"/>
                      <w:snapToGrid w:val="0"/>
                      <w:color w:val="auto"/>
                      <w:sz w:val="21"/>
                      <w:szCs w:val="21"/>
                      <w:highlight w:val="none"/>
                    </w:rPr>
                    <w:t>户</w:t>
                  </w:r>
                </w:p>
              </w:tc>
              <w:tc>
                <w:tcPr>
                  <w:tcW w:w="528" w:type="pct"/>
                  <w:noWrap w:val="0"/>
                  <w:vAlign w:val="center"/>
                </w:tcPr>
                <w:p w14:paraId="647C9EF3">
                  <w:pPr>
                    <w:spacing w:line="240" w:lineRule="auto"/>
                    <w:ind w:firstLine="0" w:firstLineChars="0"/>
                    <w:jc w:val="center"/>
                    <w:rPr>
                      <w:rFonts w:hint="eastAsia"/>
                      <w:snapToGrid w:val="0"/>
                      <w:color w:val="auto"/>
                      <w:sz w:val="21"/>
                      <w:szCs w:val="21"/>
                      <w:highlight w:val="none"/>
                    </w:rPr>
                  </w:pPr>
                  <w:r>
                    <w:rPr>
                      <w:snapToGrid w:val="0"/>
                      <w:color w:val="auto"/>
                      <w:sz w:val="21"/>
                      <w:szCs w:val="21"/>
                      <w:highlight w:val="none"/>
                    </w:rPr>
                    <w:t>砖混结构/1层/</w:t>
                  </w:r>
                  <w:r>
                    <w:rPr>
                      <w:rFonts w:hint="eastAsia"/>
                      <w:snapToGrid w:val="0"/>
                      <w:color w:val="auto"/>
                      <w:sz w:val="21"/>
                      <w:szCs w:val="21"/>
                      <w:highlight w:val="none"/>
                    </w:rPr>
                    <w:t>正</w:t>
                  </w:r>
                  <w:r>
                    <w:rPr>
                      <w:snapToGrid w:val="0"/>
                      <w:color w:val="auto"/>
                      <w:sz w:val="21"/>
                      <w:szCs w:val="21"/>
                      <w:highlight w:val="none"/>
                    </w:rPr>
                    <w:t>对</w:t>
                  </w:r>
                </w:p>
              </w:tc>
            </w:tr>
            <w:tr w14:paraId="32124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noWrap w:val="0"/>
                  <w:vAlign w:val="center"/>
                </w:tcPr>
                <w:p w14:paraId="2CD36BC0">
                  <w:pPr>
                    <w:spacing w:line="240" w:lineRule="auto"/>
                    <w:ind w:firstLine="0" w:firstLineChars="0"/>
                    <w:jc w:val="center"/>
                    <w:rPr>
                      <w:color w:val="auto"/>
                      <w:sz w:val="21"/>
                      <w:szCs w:val="21"/>
                      <w:highlight w:val="none"/>
                    </w:rPr>
                  </w:pPr>
                  <w:r>
                    <w:rPr>
                      <w:rFonts w:hint="eastAsia"/>
                      <w:color w:val="auto"/>
                      <w:sz w:val="21"/>
                      <w:szCs w:val="21"/>
                      <w:highlight w:val="none"/>
                    </w:rPr>
                    <w:t>5</w:t>
                  </w:r>
                </w:p>
              </w:tc>
              <w:tc>
                <w:tcPr>
                  <w:tcW w:w="447" w:type="pct"/>
                  <w:noWrap w:val="0"/>
                  <w:vAlign w:val="center"/>
                </w:tcPr>
                <w:p w14:paraId="27B24DEF">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长荣村</w:t>
                  </w:r>
                </w:p>
              </w:tc>
              <w:tc>
                <w:tcPr>
                  <w:tcW w:w="693" w:type="pct"/>
                  <w:noWrap w:val="0"/>
                  <w:vAlign w:val="center"/>
                </w:tcPr>
                <w:p w14:paraId="11D8D6C9">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K</w:t>
                  </w:r>
                  <w:r>
                    <w:rPr>
                      <w:snapToGrid w:val="0"/>
                      <w:color w:val="auto"/>
                      <w:sz w:val="21"/>
                      <w:szCs w:val="21"/>
                      <w:highlight w:val="none"/>
                    </w:rPr>
                    <w:t>6+</w:t>
                  </w:r>
                  <w:r>
                    <w:rPr>
                      <w:rFonts w:hint="eastAsia"/>
                      <w:snapToGrid w:val="0"/>
                      <w:color w:val="auto"/>
                      <w:sz w:val="21"/>
                      <w:szCs w:val="21"/>
                      <w:highlight w:val="none"/>
                      <w:lang w:val="en-US" w:eastAsia="zh-CN"/>
                    </w:rPr>
                    <w:t>124</w:t>
                  </w:r>
                  <w:r>
                    <w:rPr>
                      <w:snapToGrid w:val="0"/>
                      <w:color w:val="auto"/>
                      <w:sz w:val="21"/>
                      <w:szCs w:val="21"/>
                      <w:highlight w:val="none"/>
                    </w:rPr>
                    <w:t>~K6+</w:t>
                  </w:r>
                  <w:r>
                    <w:rPr>
                      <w:rFonts w:hint="eastAsia"/>
                      <w:snapToGrid w:val="0"/>
                      <w:color w:val="auto"/>
                      <w:sz w:val="21"/>
                      <w:szCs w:val="21"/>
                      <w:highlight w:val="none"/>
                      <w:lang w:val="en-US" w:eastAsia="zh-CN"/>
                    </w:rPr>
                    <w:t>934</w:t>
                  </w:r>
                </w:p>
              </w:tc>
              <w:tc>
                <w:tcPr>
                  <w:tcW w:w="528" w:type="pct"/>
                  <w:noWrap w:val="0"/>
                  <w:vAlign w:val="center"/>
                </w:tcPr>
                <w:p w14:paraId="5794D70F">
                  <w:pPr>
                    <w:spacing w:line="240" w:lineRule="auto"/>
                    <w:ind w:firstLine="0" w:firstLineChars="0"/>
                    <w:jc w:val="center"/>
                    <w:rPr>
                      <w:snapToGrid w:val="0"/>
                      <w:color w:val="auto"/>
                      <w:sz w:val="21"/>
                      <w:szCs w:val="21"/>
                      <w:highlight w:val="none"/>
                    </w:rPr>
                  </w:pPr>
                  <w:r>
                    <w:rPr>
                      <w:snapToGrid w:val="0"/>
                      <w:color w:val="auto"/>
                      <w:sz w:val="21"/>
                      <w:szCs w:val="21"/>
                      <w:highlight w:val="none"/>
                    </w:rPr>
                    <w:t>路基</w:t>
                  </w:r>
                </w:p>
              </w:tc>
              <w:tc>
                <w:tcPr>
                  <w:tcW w:w="560" w:type="pct"/>
                  <w:noWrap w:val="0"/>
                  <w:vAlign w:val="center"/>
                </w:tcPr>
                <w:p w14:paraId="3A9932D1">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道路</w:t>
                  </w:r>
                  <w:r>
                    <w:rPr>
                      <w:rFonts w:hint="eastAsia"/>
                      <w:snapToGrid w:val="0"/>
                      <w:color w:val="auto"/>
                      <w:sz w:val="21"/>
                      <w:szCs w:val="21"/>
                      <w:highlight w:val="none"/>
                      <w:lang w:val="en-US" w:eastAsia="zh-CN"/>
                    </w:rPr>
                    <w:t>右</w:t>
                  </w:r>
                  <w:r>
                    <w:rPr>
                      <w:rFonts w:hint="eastAsia"/>
                      <w:snapToGrid w:val="0"/>
                      <w:color w:val="auto"/>
                      <w:sz w:val="21"/>
                      <w:szCs w:val="21"/>
                      <w:highlight w:val="none"/>
                    </w:rPr>
                    <w:t>侧</w:t>
                  </w:r>
                </w:p>
              </w:tc>
              <w:tc>
                <w:tcPr>
                  <w:tcW w:w="765" w:type="pct"/>
                  <w:noWrap w:val="0"/>
                  <w:vAlign w:val="center"/>
                </w:tcPr>
                <w:p w14:paraId="6C20CDA2">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0.1</w:t>
                  </w:r>
                  <w:r>
                    <w:rPr>
                      <w:snapToGrid w:val="0"/>
                      <w:color w:val="auto"/>
                      <w:sz w:val="21"/>
                      <w:szCs w:val="21"/>
                      <w:highlight w:val="none"/>
                    </w:rPr>
                    <w:t>~</w:t>
                  </w:r>
                  <w:r>
                    <w:rPr>
                      <w:rFonts w:hint="eastAsia"/>
                      <w:snapToGrid w:val="0"/>
                      <w:color w:val="auto"/>
                      <w:sz w:val="21"/>
                      <w:szCs w:val="21"/>
                      <w:highlight w:val="none"/>
                      <w:lang w:val="en-US" w:eastAsia="zh-CN"/>
                    </w:rPr>
                    <w:t>0.9</w:t>
                  </w:r>
                </w:p>
              </w:tc>
              <w:tc>
                <w:tcPr>
                  <w:tcW w:w="390" w:type="pct"/>
                  <w:noWrap w:val="0"/>
                  <w:vAlign w:val="center"/>
                </w:tcPr>
                <w:p w14:paraId="5BFD7234">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2</w:t>
                  </w:r>
                  <w:r>
                    <w:rPr>
                      <w:snapToGrid w:val="0"/>
                      <w:color w:val="auto"/>
                      <w:sz w:val="21"/>
                      <w:szCs w:val="21"/>
                      <w:highlight w:val="none"/>
                    </w:rPr>
                    <w:t>/</w:t>
                  </w:r>
                  <w:r>
                    <w:rPr>
                      <w:rFonts w:hint="eastAsia"/>
                      <w:snapToGrid w:val="0"/>
                      <w:color w:val="auto"/>
                      <w:sz w:val="21"/>
                      <w:szCs w:val="21"/>
                      <w:highlight w:val="none"/>
                    </w:rPr>
                    <w:t>改后</w:t>
                  </w:r>
                  <w:r>
                    <w:rPr>
                      <w:snapToGrid w:val="0"/>
                      <w:color w:val="auto"/>
                      <w:sz w:val="21"/>
                      <w:szCs w:val="21"/>
                      <w:highlight w:val="none"/>
                    </w:rPr>
                    <w:t>2</w:t>
                  </w:r>
                </w:p>
              </w:tc>
              <w:tc>
                <w:tcPr>
                  <w:tcW w:w="659" w:type="pct"/>
                  <w:noWrap w:val="0"/>
                  <w:vAlign w:val="center"/>
                </w:tcPr>
                <w:p w14:paraId="68FA0BE0">
                  <w:pPr>
                    <w:spacing w:line="240" w:lineRule="auto"/>
                    <w:ind w:firstLine="0" w:firstLineChars="0"/>
                    <w:jc w:val="center"/>
                    <w:rPr>
                      <w:color w:val="auto"/>
                      <w:sz w:val="21"/>
                      <w:szCs w:val="21"/>
                      <w:highlight w:val="none"/>
                    </w:rPr>
                  </w:pPr>
                  <w:r>
                    <w:rPr>
                      <w:rFonts w:hint="eastAsia"/>
                      <w:color w:val="auto"/>
                      <w:sz w:val="21"/>
                      <w:szCs w:val="21"/>
                      <w:highlight w:val="none"/>
                    </w:rPr>
                    <w:t>改前</w:t>
                  </w:r>
                  <w:r>
                    <w:rPr>
                      <w:rFonts w:hint="eastAsia"/>
                      <w:color w:val="auto"/>
                      <w:sz w:val="21"/>
                      <w:szCs w:val="21"/>
                      <w:highlight w:val="none"/>
                      <w:lang w:val="en-US" w:eastAsia="zh-CN"/>
                    </w:rPr>
                    <w:t>6</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6</w:t>
                  </w:r>
                </w:p>
              </w:tc>
              <w:tc>
                <w:tcPr>
                  <w:tcW w:w="215" w:type="pct"/>
                  <w:noWrap w:val="0"/>
                  <w:vAlign w:val="center"/>
                </w:tcPr>
                <w:p w14:paraId="35F01454">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lang w:val="en-US" w:eastAsia="zh-CN"/>
                    </w:rPr>
                    <w:t>80</w:t>
                  </w:r>
                  <w:r>
                    <w:rPr>
                      <w:rFonts w:hint="eastAsia"/>
                      <w:snapToGrid w:val="0"/>
                      <w:color w:val="auto"/>
                      <w:sz w:val="21"/>
                      <w:szCs w:val="21"/>
                      <w:highlight w:val="none"/>
                    </w:rPr>
                    <w:t>户</w:t>
                  </w:r>
                </w:p>
              </w:tc>
              <w:tc>
                <w:tcPr>
                  <w:tcW w:w="528" w:type="pct"/>
                  <w:noWrap w:val="0"/>
                  <w:vAlign w:val="center"/>
                </w:tcPr>
                <w:p w14:paraId="38F1D6AA">
                  <w:pPr>
                    <w:spacing w:line="240" w:lineRule="auto"/>
                    <w:ind w:firstLine="0" w:firstLineChars="0"/>
                    <w:jc w:val="center"/>
                    <w:rPr>
                      <w:rFonts w:hint="eastAsia" w:eastAsia="宋体"/>
                      <w:snapToGrid w:val="0"/>
                      <w:color w:val="auto"/>
                      <w:sz w:val="21"/>
                      <w:szCs w:val="21"/>
                      <w:highlight w:val="none"/>
                      <w:lang w:val="en-US" w:eastAsia="zh-CN"/>
                    </w:rPr>
                  </w:pPr>
                  <w:r>
                    <w:rPr>
                      <w:snapToGrid w:val="0"/>
                      <w:color w:val="auto"/>
                      <w:sz w:val="21"/>
                      <w:szCs w:val="21"/>
                      <w:highlight w:val="none"/>
                    </w:rPr>
                    <w:t>砖混结构/1层/</w:t>
                  </w:r>
                  <w:r>
                    <w:rPr>
                      <w:rFonts w:hint="eastAsia"/>
                      <w:snapToGrid w:val="0"/>
                      <w:color w:val="auto"/>
                      <w:sz w:val="21"/>
                      <w:szCs w:val="21"/>
                      <w:highlight w:val="none"/>
                      <w:lang w:val="en-US" w:eastAsia="zh-CN"/>
                    </w:rPr>
                    <w:t>正对</w:t>
                  </w:r>
                </w:p>
              </w:tc>
            </w:tr>
            <w:tr w14:paraId="5EDE8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noWrap w:val="0"/>
                  <w:vAlign w:val="center"/>
                </w:tcPr>
                <w:p w14:paraId="5347D97A">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6</w:t>
                  </w:r>
                </w:p>
              </w:tc>
              <w:tc>
                <w:tcPr>
                  <w:tcW w:w="447" w:type="pct"/>
                  <w:noWrap w:val="0"/>
                  <w:vAlign w:val="center"/>
                </w:tcPr>
                <w:p w14:paraId="1245FD68">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丛家屯</w:t>
                  </w:r>
                </w:p>
              </w:tc>
              <w:tc>
                <w:tcPr>
                  <w:tcW w:w="693" w:type="pct"/>
                  <w:noWrap w:val="0"/>
                  <w:vAlign w:val="center"/>
                </w:tcPr>
                <w:p w14:paraId="2C85451C">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K</w:t>
                  </w:r>
                  <w:r>
                    <w:rPr>
                      <w:rFonts w:hint="eastAsia"/>
                      <w:snapToGrid w:val="0"/>
                      <w:color w:val="auto"/>
                      <w:sz w:val="21"/>
                      <w:szCs w:val="21"/>
                      <w:highlight w:val="none"/>
                      <w:lang w:val="en-US" w:eastAsia="zh-CN"/>
                    </w:rPr>
                    <w:t>6</w:t>
                  </w:r>
                  <w:r>
                    <w:rPr>
                      <w:snapToGrid w:val="0"/>
                      <w:color w:val="auto"/>
                      <w:sz w:val="21"/>
                      <w:szCs w:val="21"/>
                      <w:highlight w:val="none"/>
                    </w:rPr>
                    <w:t>+</w:t>
                  </w:r>
                  <w:r>
                    <w:rPr>
                      <w:rFonts w:hint="eastAsia"/>
                      <w:snapToGrid w:val="0"/>
                      <w:color w:val="auto"/>
                      <w:sz w:val="21"/>
                      <w:szCs w:val="21"/>
                      <w:highlight w:val="none"/>
                      <w:lang w:val="en-US" w:eastAsia="zh-CN"/>
                    </w:rPr>
                    <w:t>941</w:t>
                  </w:r>
                  <w:r>
                    <w:rPr>
                      <w:snapToGrid w:val="0"/>
                      <w:color w:val="auto"/>
                      <w:sz w:val="21"/>
                      <w:szCs w:val="21"/>
                      <w:highlight w:val="none"/>
                    </w:rPr>
                    <w:t>~K</w:t>
                  </w:r>
                  <w:r>
                    <w:rPr>
                      <w:rFonts w:hint="eastAsia"/>
                      <w:snapToGrid w:val="0"/>
                      <w:color w:val="auto"/>
                      <w:sz w:val="21"/>
                      <w:szCs w:val="21"/>
                      <w:highlight w:val="none"/>
                      <w:lang w:val="en-US" w:eastAsia="zh-CN"/>
                    </w:rPr>
                    <w:t>7</w:t>
                  </w:r>
                  <w:r>
                    <w:rPr>
                      <w:snapToGrid w:val="0"/>
                      <w:color w:val="auto"/>
                      <w:sz w:val="21"/>
                      <w:szCs w:val="21"/>
                      <w:highlight w:val="none"/>
                    </w:rPr>
                    <w:t>+</w:t>
                  </w:r>
                  <w:r>
                    <w:rPr>
                      <w:rFonts w:hint="eastAsia"/>
                      <w:snapToGrid w:val="0"/>
                      <w:color w:val="auto"/>
                      <w:sz w:val="21"/>
                      <w:szCs w:val="21"/>
                      <w:highlight w:val="none"/>
                      <w:lang w:val="en-US" w:eastAsia="zh-CN"/>
                    </w:rPr>
                    <w:t>123</w:t>
                  </w:r>
                </w:p>
              </w:tc>
              <w:tc>
                <w:tcPr>
                  <w:tcW w:w="528" w:type="pct"/>
                  <w:noWrap w:val="0"/>
                  <w:vAlign w:val="center"/>
                </w:tcPr>
                <w:p w14:paraId="44337C40">
                  <w:pPr>
                    <w:spacing w:line="240" w:lineRule="auto"/>
                    <w:ind w:firstLine="0" w:firstLineChars="0"/>
                    <w:jc w:val="center"/>
                    <w:rPr>
                      <w:snapToGrid w:val="0"/>
                      <w:color w:val="auto"/>
                      <w:sz w:val="21"/>
                      <w:szCs w:val="21"/>
                      <w:highlight w:val="none"/>
                    </w:rPr>
                  </w:pPr>
                  <w:r>
                    <w:rPr>
                      <w:snapToGrid w:val="0"/>
                      <w:color w:val="auto"/>
                      <w:sz w:val="21"/>
                      <w:szCs w:val="21"/>
                      <w:highlight w:val="none"/>
                    </w:rPr>
                    <w:t>路基</w:t>
                  </w:r>
                </w:p>
              </w:tc>
              <w:tc>
                <w:tcPr>
                  <w:tcW w:w="560" w:type="pct"/>
                  <w:noWrap w:val="0"/>
                  <w:vAlign w:val="center"/>
                </w:tcPr>
                <w:p w14:paraId="113AA995">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道路左侧</w:t>
                  </w:r>
                </w:p>
              </w:tc>
              <w:tc>
                <w:tcPr>
                  <w:tcW w:w="765" w:type="pct"/>
                  <w:noWrap w:val="0"/>
                  <w:vAlign w:val="center"/>
                </w:tcPr>
                <w:p w14:paraId="55498B6C">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0.2</w:t>
                  </w:r>
                  <w:r>
                    <w:rPr>
                      <w:snapToGrid w:val="0"/>
                      <w:color w:val="auto"/>
                      <w:sz w:val="21"/>
                      <w:szCs w:val="21"/>
                      <w:highlight w:val="none"/>
                    </w:rPr>
                    <w:t>~</w:t>
                  </w:r>
                  <w:r>
                    <w:rPr>
                      <w:rFonts w:hint="eastAsia"/>
                      <w:snapToGrid w:val="0"/>
                      <w:color w:val="auto"/>
                      <w:sz w:val="21"/>
                      <w:szCs w:val="21"/>
                      <w:highlight w:val="none"/>
                      <w:lang w:val="en-US" w:eastAsia="zh-CN"/>
                    </w:rPr>
                    <w:t>0.4</w:t>
                  </w:r>
                </w:p>
              </w:tc>
              <w:tc>
                <w:tcPr>
                  <w:tcW w:w="390" w:type="pct"/>
                  <w:noWrap w:val="0"/>
                  <w:vAlign w:val="center"/>
                </w:tcPr>
                <w:p w14:paraId="7A6BAF74">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2</w:t>
                  </w:r>
                  <w:r>
                    <w:rPr>
                      <w:snapToGrid w:val="0"/>
                      <w:color w:val="auto"/>
                      <w:sz w:val="21"/>
                      <w:szCs w:val="21"/>
                      <w:highlight w:val="none"/>
                    </w:rPr>
                    <w:t>/</w:t>
                  </w:r>
                  <w:r>
                    <w:rPr>
                      <w:rFonts w:hint="eastAsia"/>
                      <w:snapToGrid w:val="0"/>
                      <w:color w:val="auto"/>
                      <w:sz w:val="21"/>
                      <w:szCs w:val="21"/>
                      <w:highlight w:val="none"/>
                    </w:rPr>
                    <w:t>改后</w:t>
                  </w:r>
                  <w:r>
                    <w:rPr>
                      <w:snapToGrid w:val="0"/>
                      <w:color w:val="auto"/>
                      <w:sz w:val="21"/>
                      <w:szCs w:val="21"/>
                      <w:highlight w:val="none"/>
                    </w:rPr>
                    <w:t>2</w:t>
                  </w:r>
                </w:p>
              </w:tc>
              <w:tc>
                <w:tcPr>
                  <w:tcW w:w="659" w:type="pct"/>
                  <w:noWrap w:val="0"/>
                  <w:vAlign w:val="center"/>
                </w:tcPr>
                <w:p w14:paraId="67F8A080">
                  <w:pPr>
                    <w:spacing w:line="240" w:lineRule="auto"/>
                    <w:ind w:firstLine="0" w:firstLineChars="0"/>
                    <w:jc w:val="center"/>
                    <w:rPr>
                      <w:color w:val="auto"/>
                      <w:sz w:val="21"/>
                      <w:szCs w:val="21"/>
                      <w:highlight w:val="none"/>
                    </w:rPr>
                  </w:pPr>
                  <w:r>
                    <w:rPr>
                      <w:rFonts w:hint="eastAsia"/>
                      <w:color w:val="auto"/>
                      <w:sz w:val="21"/>
                      <w:szCs w:val="21"/>
                      <w:highlight w:val="none"/>
                    </w:rPr>
                    <w:t>改前</w:t>
                  </w:r>
                  <w:r>
                    <w:rPr>
                      <w:rFonts w:hint="eastAsia"/>
                      <w:color w:val="auto"/>
                      <w:sz w:val="21"/>
                      <w:szCs w:val="21"/>
                      <w:highlight w:val="none"/>
                      <w:lang w:val="en-US" w:eastAsia="zh-CN"/>
                    </w:rPr>
                    <w:t>6</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6</w:t>
                  </w:r>
                </w:p>
              </w:tc>
              <w:tc>
                <w:tcPr>
                  <w:tcW w:w="215" w:type="pct"/>
                  <w:noWrap w:val="0"/>
                  <w:vAlign w:val="center"/>
                </w:tcPr>
                <w:p w14:paraId="2450785E">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lang w:val="en-US" w:eastAsia="zh-CN"/>
                    </w:rPr>
                    <w:t>24</w:t>
                  </w:r>
                  <w:r>
                    <w:rPr>
                      <w:rFonts w:hint="eastAsia"/>
                      <w:snapToGrid w:val="0"/>
                      <w:color w:val="auto"/>
                      <w:sz w:val="21"/>
                      <w:szCs w:val="21"/>
                      <w:highlight w:val="none"/>
                    </w:rPr>
                    <w:t>户</w:t>
                  </w:r>
                </w:p>
              </w:tc>
              <w:tc>
                <w:tcPr>
                  <w:tcW w:w="528" w:type="pct"/>
                  <w:noWrap w:val="0"/>
                  <w:vAlign w:val="center"/>
                </w:tcPr>
                <w:p w14:paraId="4A8CAD38">
                  <w:pPr>
                    <w:spacing w:line="240" w:lineRule="auto"/>
                    <w:ind w:firstLine="0" w:firstLineChars="0"/>
                    <w:jc w:val="center"/>
                    <w:rPr>
                      <w:rFonts w:hint="eastAsia" w:eastAsia="宋体"/>
                      <w:snapToGrid w:val="0"/>
                      <w:color w:val="auto"/>
                      <w:sz w:val="21"/>
                      <w:szCs w:val="21"/>
                      <w:highlight w:val="none"/>
                      <w:lang w:val="en-US" w:eastAsia="zh-CN"/>
                    </w:rPr>
                  </w:pPr>
                  <w:r>
                    <w:rPr>
                      <w:snapToGrid w:val="0"/>
                      <w:color w:val="auto"/>
                      <w:sz w:val="21"/>
                      <w:szCs w:val="21"/>
                      <w:highlight w:val="none"/>
                    </w:rPr>
                    <w:t>砖混结构/1层/</w:t>
                  </w:r>
                  <w:r>
                    <w:rPr>
                      <w:rFonts w:hint="eastAsia"/>
                      <w:snapToGrid w:val="0"/>
                      <w:color w:val="auto"/>
                      <w:sz w:val="21"/>
                      <w:szCs w:val="21"/>
                      <w:highlight w:val="none"/>
                      <w:lang w:val="en-US" w:eastAsia="zh-CN"/>
                    </w:rPr>
                    <w:t>正对</w:t>
                  </w:r>
                </w:p>
              </w:tc>
            </w:tr>
            <w:tr w14:paraId="4ADC5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noWrap w:val="0"/>
                  <w:vAlign w:val="center"/>
                </w:tcPr>
                <w:p w14:paraId="4C362BF9">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7</w:t>
                  </w:r>
                </w:p>
              </w:tc>
              <w:tc>
                <w:tcPr>
                  <w:tcW w:w="447" w:type="pct"/>
                  <w:noWrap w:val="0"/>
                  <w:vAlign w:val="center"/>
                </w:tcPr>
                <w:p w14:paraId="4241A363">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三合屯</w:t>
                  </w:r>
                </w:p>
              </w:tc>
              <w:tc>
                <w:tcPr>
                  <w:tcW w:w="693" w:type="pct"/>
                  <w:noWrap w:val="0"/>
                  <w:vAlign w:val="center"/>
                </w:tcPr>
                <w:p w14:paraId="073C63DB">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K</w:t>
                  </w:r>
                  <w:r>
                    <w:rPr>
                      <w:rFonts w:hint="eastAsia"/>
                      <w:snapToGrid w:val="0"/>
                      <w:color w:val="auto"/>
                      <w:sz w:val="21"/>
                      <w:szCs w:val="21"/>
                      <w:highlight w:val="none"/>
                      <w:lang w:val="en-US" w:eastAsia="zh-CN"/>
                    </w:rPr>
                    <w:t>9</w:t>
                  </w:r>
                  <w:r>
                    <w:rPr>
                      <w:snapToGrid w:val="0"/>
                      <w:color w:val="auto"/>
                      <w:sz w:val="21"/>
                      <w:szCs w:val="21"/>
                      <w:highlight w:val="none"/>
                    </w:rPr>
                    <w:t>+</w:t>
                  </w:r>
                  <w:r>
                    <w:rPr>
                      <w:rFonts w:hint="eastAsia"/>
                      <w:snapToGrid w:val="0"/>
                      <w:color w:val="auto"/>
                      <w:sz w:val="21"/>
                      <w:szCs w:val="21"/>
                      <w:highlight w:val="none"/>
                      <w:lang w:val="en-US" w:eastAsia="zh-CN"/>
                    </w:rPr>
                    <w:t>268</w:t>
                  </w:r>
                  <w:r>
                    <w:rPr>
                      <w:snapToGrid w:val="0"/>
                      <w:color w:val="auto"/>
                      <w:sz w:val="21"/>
                      <w:szCs w:val="21"/>
                      <w:highlight w:val="none"/>
                    </w:rPr>
                    <w:t>~</w:t>
                  </w:r>
                  <w:r>
                    <w:rPr>
                      <w:rFonts w:hint="eastAsia"/>
                      <w:snapToGrid w:val="0"/>
                      <w:color w:val="auto"/>
                      <w:sz w:val="21"/>
                      <w:szCs w:val="21"/>
                      <w:highlight w:val="none"/>
                    </w:rPr>
                    <w:t>K</w:t>
                  </w:r>
                  <w:r>
                    <w:rPr>
                      <w:rFonts w:hint="eastAsia"/>
                      <w:snapToGrid w:val="0"/>
                      <w:color w:val="auto"/>
                      <w:sz w:val="21"/>
                      <w:szCs w:val="21"/>
                      <w:highlight w:val="none"/>
                      <w:lang w:val="en-US" w:eastAsia="zh-CN"/>
                    </w:rPr>
                    <w:t>9</w:t>
                  </w:r>
                  <w:r>
                    <w:rPr>
                      <w:snapToGrid w:val="0"/>
                      <w:color w:val="auto"/>
                      <w:sz w:val="21"/>
                      <w:szCs w:val="21"/>
                      <w:highlight w:val="none"/>
                    </w:rPr>
                    <w:t>+</w:t>
                  </w:r>
                  <w:r>
                    <w:rPr>
                      <w:rFonts w:hint="eastAsia"/>
                      <w:snapToGrid w:val="0"/>
                      <w:color w:val="auto"/>
                      <w:sz w:val="21"/>
                      <w:szCs w:val="21"/>
                      <w:highlight w:val="none"/>
                      <w:lang w:val="en-US" w:eastAsia="zh-CN"/>
                    </w:rPr>
                    <w:t>478</w:t>
                  </w:r>
                </w:p>
              </w:tc>
              <w:tc>
                <w:tcPr>
                  <w:tcW w:w="528" w:type="pct"/>
                  <w:noWrap w:val="0"/>
                  <w:vAlign w:val="center"/>
                </w:tcPr>
                <w:p w14:paraId="675E61F2">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路基</w:t>
                  </w:r>
                </w:p>
              </w:tc>
              <w:tc>
                <w:tcPr>
                  <w:tcW w:w="560" w:type="pct"/>
                  <w:noWrap w:val="0"/>
                  <w:vAlign w:val="center"/>
                </w:tcPr>
                <w:p w14:paraId="012E44AD">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道路</w:t>
                  </w:r>
                  <w:r>
                    <w:rPr>
                      <w:rFonts w:hint="eastAsia"/>
                      <w:snapToGrid w:val="0"/>
                      <w:color w:val="auto"/>
                      <w:sz w:val="21"/>
                      <w:szCs w:val="21"/>
                      <w:highlight w:val="none"/>
                      <w:lang w:val="en-US" w:eastAsia="zh-CN"/>
                    </w:rPr>
                    <w:t>右</w:t>
                  </w:r>
                  <w:r>
                    <w:rPr>
                      <w:rFonts w:hint="eastAsia"/>
                      <w:snapToGrid w:val="0"/>
                      <w:color w:val="auto"/>
                      <w:sz w:val="21"/>
                      <w:szCs w:val="21"/>
                      <w:highlight w:val="none"/>
                    </w:rPr>
                    <w:t>侧</w:t>
                  </w:r>
                </w:p>
              </w:tc>
              <w:tc>
                <w:tcPr>
                  <w:tcW w:w="765" w:type="pct"/>
                  <w:noWrap w:val="0"/>
                  <w:vAlign w:val="center"/>
                </w:tcPr>
                <w:p w14:paraId="770665D7">
                  <w:pPr>
                    <w:spacing w:line="240" w:lineRule="auto"/>
                    <w:ind w:firstLine="0" w:firstLineChars="0"/>
                    <w:jc w:val="center"/>
                    <w:rPr>
                      <w:rFonts w:hint="default"/>
                      <w:snapToGrid w:val="0"/>
                      <w:color w:val="auto"/>
                      <w:sz w:val="21"/>
                      <w:szCs w:val="21"/>
                      <w:highlight w:val="none"/>
                      <w:lang w:val="en-US"/>
                    </w:rPr>
                  </w:pPr>
                  <w:r>
                    <w:rPr>
                      <w:rFonts w:hint="eastAsia"/>
                      <w:snapToGrid w:val="0"/>
                      <w:color w:val="auto"/>
                      <w:sz w:val="21"/>
                      <w:szCs w:val="21"/>
                      <w:highlight w:val="none"/>
                      <w:lang w:val="en-US" w:eastAsia="zh-CN"/>
                    </w:rPr>
                    <w:t>0.1</w:t>
                  </w:r>
                  <w:r>
                    <w:rPr>
                      <w:snapToGrid w:val="0"/>
                      <w:color w:val="auto"/>
                      <w:sz w:val="21"/>
                      <w:szCs w:val="21"/>
                      <w:highlight w:val="none"/>
                    </w:rPr>
                    <w:t>~</w:t>
                  </w:r>
                  <w:r>
                    <w:rPr>
                      <w:rFonts w:hint="eastAsia"/>
                      <w:snapToGrid w:val="0"/>
                      <w:color w:val="auto"/>
                      <w:sz w:val="21"/>
                      <w:szCs w:val="21"/>
                      <w:highlight w:val="none"/>
                      <w:lang w:val="en-US" w:eastAsia="zh-CN"/>
                    </w:rPr>
                    <w:t>0.2</w:t>
                  </w:r>
                </w:p>
              </w:tc>
              <w:tc>
                <w:tcPr>
                  <w:tcW w:w="390" w:type="pct"/>
                  <w:noWrap w:val="0"/>
                  <w:vAlign w:val="center"/>
                </w:tcPr>
                <w:p w14:paraId="5F5E30C8">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20</w:t>
                  </w:r>
                  <w:r>
                    <w:rPr>
                      <w:snapToGrid w:val="0"/>
                      <w:color w:val="auto"/>
                      <w:sz w:val="21"/>
                      <w:szCs w:val="21"/>
                      <w:highlight w:val="none"/>
                    </w:rPr>
                    <w:t>/</w:t>
                  </w:r>
                  <w:r>
                    <w:rPr>
                      <w:rFonts w:hint="eastAsia"/>
                      <w:snapToGrid w:val="0"/>
                      <w:color w:val="auto"/>
                      <w:sz w:val="21"/>
                      <w:szCs w:val="21"/>
                      <w:highlight w:val="none"/>
                    </w:rPr>
                    <w:t>改后</w:t>
                  </w:r>
                  <w:r>
                    <w:rPr>
                      <w:rFonts w:hint="eastAsia"/>
                      <w:snapToGrid w:val="0"/>
                      <w:color w:val="auto"/>
                      <w:sz w:val="21"/>
                      <w:szCs w:val="21"/>
                      <w:highlight w:val="none"/>
                      <w:lang w:val="en-US" w:eastAsia="zh-CN"/>
                    </w:rPr>
                    <w:t>20</w:t>
                  </w:r>
                </w:p>
              </w:tc>
              <w:tc>
                <w:tcPr>
                  <w:tcW w:w="659" w:type="pct"/>
                  <w:noWrap w:val="0"/>
                  <w:vAlign w:val="center"/>
                </w:tcPr>
                <w:p w14:paraId="1A12B211">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改前2</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24</w:t>
                  </w:r>
                </w:p>
              </w:tc>
              <w:tc>
                <w:tcPr>
                  <w:tcW w:w="215" w:type="pct"/>
                  <w:noWrap w:val="0"/>
                  <w:vAlign w:val="center"/>
                </w:tcPr>
                <w:p w14:paraId="758BE945">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20</w:t>
                  </w:r>
                  <w:r>
                    <w:rPr>
                      <w:rFonts w:hint="eastAsia"/>
                      <w:color w:val="auto"/>
                      <w:sz w:val="21"/>
                      <w:szCs w:val="21"/>
                      <w:highlight w:val="none"/>
                    </w:rPr>
                    <w:t>户</w:t>
                  </w:r>
                </w:p>
              </w:tc>
              <w:tc>
                <w:tcPr>
                  <w:tcW w:w="528" w:type="pct"/>
                  <w:noWrap w:val="0"/>
                  <w:vAlign w:val="center"/>
                </w:tcPr>
                <w:p w14:paraId="255BF26B">
                  <w:pPr>
                    <w:spacing w:line="240" w:lineRule="auto"/>
                    <w:ind w:firstLine="0" w:firstLineChars="0"/>
                    <w:jc w:val="center"/>
                    <w:rPr>
                      <w:rFonts w:hint="eastAsia" w:eastAsia="宋体"/>
                      <w:snapToGrid w:val="0"/>
                      <w:color w:val="auto"/>
                      <w:sz w:val="21"/>
                      <w:szCs w:val="21"/>
                      <w:highlight w:val="none"/>
                      <w:lang w:val="en-US" w:eastAsia="zh-CN"/>
                    </w:rPr>
                  </w:pPr>
                  <w:r>
                    <w:rPr>
                      <w:snapToGrid w:val="0"/>
                      <w:color w:val="auto"/>
                      <w:sz w:val="21"/>
                      <w:szCs w:val="21"/>
                      <w:highlight w:val="none"/>
                    </w:rPr>
                    <w:t>砖混结构/1层/</w:t>
                  </w:r>
                  <w:r>
                    <w:rPr>
                      <w:rFonts w:hint="eastAsia"/>
                      <w:snapToGrid w:val="0"/>
                      <w:color w:val="auto"/>
                      <w:sz w:val="21"/>
                      <w:szCs w:val="21"/>
                      <w:highlight w:val="none"/>
                      <w:lang w:val="en-US" w:eastAsia="zh-CN"/>
                    </w:rPr>
                    <w:t>正对</w:t>
                  </w:r>
                </w:p>
              </w:tc>
            </w:tr>
            <w:tr w14:paraId="12C54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noWrap w:val="0"/>
                  <w:vAlign w:val="center"/>
                </w:tcPr>
                <w:p w14:paraId="1FD692EF">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8</w:t>
                  </w:r>
                </w:p>
              </w:tc>
              <w:tc>
                <w:tcPr>
                  <w:tcW w:w="447" w:type="pct"/>
                  <w:noWrap w:val="0"/>
                  <w:vAlign w:val="center"/>
                </w:tcPr>
                <w:p w14:paraId="07817CDA">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双堡村</w:t>
                  </w:r>
                </w:p>
              </w:tc>
              <w:tc>
                <w:tcPr>
                  <w:tcW w:w="693" w:type="pct"/>
                  <w:noWrap w:val="0"/>
                  <w:vAlign w:val="center"/>
                </w:tcPr>
                <w:p w14:paraId="4075ED10">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K</w:t>
                  </w:r>
                  <w:r>
                    <w:rPr>
                      <w:rFonts w:hint="eastAsia"/>
                      <w:snapToGrid w:val="0"/>
                      <w:color w:val="auto"/>
                      <w:sz w:val="21"/>
                      <w:szCs w:val="21"/>
                      <w:highlight w:val="none"/>
                      <w:lang w:val="en-US" w:eastAsia="zh-CN"/>
                    </w:rPr>
                    <w:t>12</w:t>
                  </w:r>
                  <w:r>
                    <w:rPr>
                      <w:snapToGrid w:val="0"/>
                      <w:color w:val="auto"/>
                      <w:sz w:val="21"/>
                      <w:szCs w:val="21"/>
                      <w:highlight w:val="none"/>
                    </w:rPr>
                    <w:t>+</w:t>
                  </w:r>
                  <w:r>
                    <w:rPr>
                      <w:rFonts w:hint="eastAsia"/>
                      <w:snapToGrid w:val="0"/>
                      <w:color w:val="auto"/>
                      <w:sz w:val="21"/>
                      <w:szCs w:val="21"/>
                      <w:highlight w:val="none"/>
                      <w:lang w:val="en-US" w:eastAsia="zh-CN"/>
                    </w:rPr>
                    <w:t>507</w:t>
                  </w:r>
                  <w:r>
                    <w:rPr>
                      <w:snapToGrid w:val="0"/>
                      <w:color w:val="auto"/>
                      <w:sz w:val="21"/>
                      <w:szCs w:val="21"/>
                      <w:highlight w:val="none"/>
                    </w:rPr>
                    <w:t>~K</w:t>
                  </w:r>
                  <w:r>
                    <w:rPr>
                      <w:rFonts w:hint="eastAsia"/>
                      <w:snapToGrid w:val="0"/>
                      <w:color w:val="auto"/>
                      <w:sz w:val="21"/>
                      <w:szCs w:val="21"/>
                      <w:highlight w:val="none"/>
                      <w:lang w:val="en-US" w:eastAsia="zh-CN"/>
                    </w:rPr>
                    <w:t>12</w:t>
                  </w:r>
                  <w:r>
                    <w:rPr>
                      <w:snapToGrid w:val="0"/>
                      <w:color w:val="auto"/>
                      <w:sz w:val="21"/>
                      <w:szCs w:val="21"/>
                      <w:highlight w:val="none"/>
                    </w:rPr>
                    <w:t>+</w:t>
                  </w:r>
                  <w:r>
                    <w:rPr>
                      <w:rFonts w:hint="eastAsia"/>
                      <w:snapToGrid w:val="0"/>
                      <w:color w:val="auto"/>
                      <w:sz w:val="21"/>
                      <w:szCs w:val="21"/>
                      <w:highlight w:val="none"/>
                      <w:lang w:val="en-US" w:eastAsia="zh-CN"/>
                    </w:rPr>
                    <w:t>781</w:t>
                  </w:r>
                </w:p>
              </w:tc>
              <w:tc>
                <w:tcPr>
                  <w:tcW w:w="528" w:type="pct"/>
                  <w:noWrap w:val="0"/>
                  <w:vAlign w:val="center"/>
                </w:tcPr>
                <w:p w14:paraId="36639798">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路基</w:t>
                  </w:r>
                </w:p>
              </w:tc>
              <w:tc>
                <w:tcPr>
                  <w:tcW w:w="560" w:type="pct"/>
                  <w:noWrap w:val="0"/>
                  <w:vAlign w:val="center"/>
                </w:tcPr>
                <w:p w14:paraId="063A61B9">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道路右侧</w:t>
                  </w:r>
                </w:p>
              </w:tc>
              <w:tc>
                <w:tcPr>
                  <w:tcW w:w="765" w:type="pct"/>
                  <w:noWrap w:val="0"/>
                  <w:vAlign w:val="center"/>
                </w:tcPr>
                <w:p w14:paraId="498CFD1C">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0.6</w:t>
                  </w:r>
                  <w:r>
                    <w:rPr>
                      <w:snapToGrid w:val="0"/>
                      <w:color w:val="auto"/>
                      <w:sz w:val="21"/>
                      <w:szCs w:val="21"/>
                      <w:highlight w:val="none"/>
                    </w:rPr>
                    <w:t>~</w:t>
                  </w:r>
                  <w:r>
                    <w:rPr>
                      <w:rFonts w:hint="eastAsia"/>
                      <w:snapToGrid w:val="0"/>
                      <w:color w:val="auto"/>
                      <w:sz w:val="21"/>
                      <w:szCs w:val="21"/>
                      <w:highlight w:val="none"/>
                      <w:lang w:val="en-US" w:eastAsia="zh-CN"/>
                    </w:rPr>
                    <w:t>0.8</w:t>
                  </w:r>
                </w:p>
              </w:tc>
              <w:tc>
                <w:tcPr>
                  <w:tcW w:w="390" w:type="pct"/>
                  <w:noWrap w:val="0"/>
                  <w:vAlign w:val="center"/>
                </w:tcPr>
                <w:p w14:paraId="6D619F8F">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148</w:t>
                  </w:r>
                  <w:r>
                    <w:rPr>
                      <w:snapToGrid w:val="0"/>
                      <w:color w:val="auto"/>
                      <w:sz w:val="21"/>
                      <w:szCs w:val="21"/>
                      <w:highlight w:val="none"/>
                    </w:rPr>
                    <w:t>/</w:t>
                  </w:r>
                  <w:r>
                    <w:rPr>
                      <w:rFonts w:hint="eastAsia"/>
                      <w:snapToGrid w:val="0"/>
                      <w:color w:val="auto"/>
                      <w:sz w:val="21"/>
                      <w:szCs w:val="21"/>
                      <w:highlight w:val="none"/>
                    </w:rPr>
                    <w:t>改后</w:t>
                  </w:r>
                  <w:r>
                    <w:rPr>
                      <w:rFonts w:hint="eastAsia"/>
                      <w:snapToGrid w:val="0"/>
                      <w:color w:val="auto"/>
                      <w:sz w:val="21"/>
                      <w:szCs w:val="21"/>
                      <w:highlight w:val="none"/>
                      <w:lang w:val="en-US" w:eastAsia="zh-CN"/>
                    </w:rPr>
                    <w:t>148</w:t>
                  </w:r>
                </w:p>
              </w:tc>
              <w:tc>
                <w:tcPr>
                  <w:tcW w:w="659" w:type="pct"/>
                  <w:noWrap w:val="0"/>
                  <w:vAlign w:val="center"/>
                </w:tcPr>
                <w:p w14:paraId="1016CC6C">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改前</w:t>
                  </w:r>
                  <w:r>
                    <w:rPr>
                      <w:rFonts w:hint="eastAsia"/>
                      <w:color w:val="auto"/>
                      <w:sz w:val="21"/>
                      <w:szCs w:val="21"/>
                      <w:highlight w:val="none"/>
                      <w:lang w:val="en-US" w:eastAsia="zh-CN"/>
                    </w:rPr>
                    <w:t>155</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155</w:t>
                  </w:r>
                </w:p>
              </w:tc>
              <w:tc>
                <w:tcPr>
                  <w:tcW w:w="215" w:type="pct"/>
                  <w:noWrap w:val="0"/>
                  <w:vAlign w:val="center"/>
                </w:tcPr>
                <w:p w14:paraId="5FF4E8E1">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户</w:t>
                  </w:r>
                </w:p>
              </w:tc>
              <w:tc>
                <w:tcPr>
                  <w:tcW w:w="528" w:type="pct"/>
                  <w:noWrap w:val="0"/>
                  <w:vAlign w:val="center"/>
                </w:tcPr>
                <w:p w14:paraId="5CD021B1">
                  <w:pPr>
                    <w:spacing w:line="240" w:lineRule="auto"/>
                    <w:ind w:firstLine="0" w:firstLineChars="0"/>
                    <w:jc w:val="center"/>
                    <w:rPr>
                      <w:rFonts w:hint="eastAsia"/>
                      <w:snapToGrid w:val="0"/>
                      <w:color w:val="auto"/>
                      <w:sz w:val="21"/>
                      <w:szCs w:val="21"/>
                      <w:highlight w:val="none"/>
                    </w:rPr>
                  </w:pPr>
                  <w:r>
                    <w:rPr>
                      <w:snapToGrid w:val="0"/>
                      <w:color w:val="auto"/>
                      <w:sz w:val="21"/>
                      <w:szCs w:val="21"/>
                      <w:highlight w:val="none"/>
                    </w:rPr>
                    <w:t>砖混结构/1层/</w:t>
                  </w:r>
                  <w:r>
                    <w:rPr>
                      <w:rFonts w:hint="eastAsia"/>
                      <w:snapToGrid w:val="0"/>
                      <w:color w:val="auto"/>
                      <w:sz w:val="21"/>
                      <w:szCs w:val="21"/>
                      <w:highlight w:val="none"/>
                    </w:rPr>
                    <w:t>侧对</w:t>
                  </w:r>
                </w:p>
              </w:tc>
            </w:tr>
            <w:tr w14:paraId="4060A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vMerge w:val="restart"/>
                  <w:noWrap w:val="0"/>
                  <w:vAlign w:val="center"/>
                </w:tcPr>
                <w:p w14:paraId="0AFA4E55">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9</w:t>
                  </w:r>
                </w:p>
              </w:tc>
              <w:tc>
                <w:tcPr>
                  <w:tcW w:w="447" w:type="pct"/>
                  <w:vMerge w:val="restart"/>
                  <w:noWrap w:val="0"/>
                  <w:vAlign w:val="center"/>
                </w:tcPr>
                <w:p w14:paraId="4CF1EEB8">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长江村</w:t>
                  </w:r>
                </w:p>
              </w:tc>
              <w:tc>
                <w:tcPr>
                  <w:tcW w:w="693" w:type="pct"/>
                  <w:vMerge w:val="restart"/>
                  <w:noWrap w:val="0"/>
                  <w:vAlign w:val="center"/>
                </w:tcPr>
                <w:p w14:paraId="0E23B89F">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K</w:t>
                  </w:r>
                  <w:r>
                    <w:rPr>
                      <w:rFonts w:hint="eastAsia"/>
                      <w:snapToGrid w:val="0"/>
                      <w:color w:val="auto"/>
                      <w:sz w:val="21"/>
                      <w:szCs w:val="21"/>
                      <w:highlight w:val="none"/>
                      <w:lang w:val="en-US" w:eastAsia="zh-CN"/>
                    </w:rPr>
                    <w:t>14</w:t>
                  </w:r>
                  <w:r>
                    <w:rPr>
                      <w:snapToGrid w:val="0"/>
                      <w:color w:val="auto"/>
                      <w:sz w:val="21"/>
                      <w:szCs w:val="21"/>
                      <w:highlight w:val="none"/>
                    </w:rPr>
                    <w:t>+</w:t>
                  </w:r>
                  <w:r>
                    <w:rPr>
                      <w:rFonts w:hint="eastAsia"/>
                      <w:snapToGrid w:val="0"/>
                      <w:color w:val="auto"/>
                      <w:sz w:val="21"/>
                      <w:szCs w:val="21"/>
                      <w:highlight w:val="none"/>
                      <w:lang w:val="en-US" w:eastAsia="zh-CN"/>
                    </w:rPr>
                    <w:t>891</w:t>
                  </w:r>
                  <w:r>
                    <w:rPr>
                      <w:snapToGrid w:val="0"/>
                      <w:color w:val="auto"/>
                      <w:sz w:val="21"/>
                      <w:szCs w:val="21"/>
                      <w:highlight w:val="none"/>
                    </w:rPr>
                    <w:t>~K</w:t>
                  </w:r>
                  <w:r>
                    <w:rPr>
                      <w:rFonts w:hint="eastAsia"/>
                      <w:snapToGrid w:val="0"/>
                      <w:color w:val="auto"/>
                      <w:sz w:val="21"/>
                      <w:szCs w:val="21"/>
                      <w:highlight w:val="none"/>
                      <w:lang w:val="en-US" w:eastAsia="zh-CN"/>
                    </w:rPr>
                    <w:t>15</w:t>
                  </w:r>
                  <w:r>
                    <w:rPr>
                      <w:snapToGrid w:val="0"/>
                      <w:color w:val="auto"/>
                      <w:sz w:val="21"/>
                      <w:szCs w:val="21"/>
                      <w:highlight w:val="none"/>
                    </w:rPr>
                    <w:t>+</w:t>
                  </w:r>
                  <w:r>
                    <w:rPr>
                      <w:rFonts w:hint="eastAsia"/>
                      <w:snapToGrid w:val="0"/>
                      <w:color w:val="auto"/>
                      <w:sz w:val="21"/>
                      <w:szCs w:val="21"/>
                      <w:highlight w:val="none"/>
                      <w:lang w:val="en-US" w:eastAsia="zh-CN"/>
                    </w:rPr>
                    <w:t>333</w:t>
                  </w:r>
                </w:p>
              </w:tc>
              <w:tc>
                <w:tcPr>
                  <w:tcW w:w="528" w:type="pct"/>
                  <w:vMerge w:val="restart"/>
                  <w:noWrap w:val="0"/>
                  <w:vAlign w:val="center"/>
                </w:tcPr>
                <w:p w14:paraId="03659081">
                  <w:pPr>
                    <w:spacing w:line="240" w:lineRule="auto"/>
                    <w:ind w:firstLine="0" w:firstLineChars="0"/>
                    <w:jc w:val="center"/>
                    <w:rPr>
                      <w:snapToGrid w:val="0"/>
                      <w:color w:val="auto"/>
                      <w:sz w:val="21"/>
                      <w:szCs w:val="21"/>
                      <w:highlight w:val="none"/>
                    </w:rPr>
                  </w:pPr>
                  <w:r>
                    <w:rPr>
                      <w:snapToGrid w:val="0"/>
                      <w:color w:val="auto"/>
                      <w:sz w:val="21"/>
                      <w:szCs w:val="21"/>
                      <w:highlight w:val="none"/>
                    </w:rPr>
                    <w:t>路基</w:t>
                  </w:r>
                </w:p>
              </w:tc>
              <w:tc>
                <w:tcPr>
                  <w:tcW w:w="560" w:type="pct"/>
                  <w:noWrap w:val="0"/>
                  <w:vAlign w:val="center"/>
                </w:tcPr>
                <w:p w14:paraId="1EA71F98">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道路左侧</w:t>
                  </w:r>
                </w:p>
              </w:tc>
              <w:tc>
                <w:tcPr>
                  <w:tcW w:w="765" w:type="pct"/>
                  <w:vMerge w:val="restart"/>
                  <w:noWrap w:val="0"/>
                  <w:vAlign w:val="center"/>
                </w:tcPr>
                <w:p w14:paraId="2A93A911">
                  <w:pPr>
                    <w:spacing w:line="240" w:lineRule="auto"/>
                    <w:ind w:firstLine="0" w:firstLineChars="0"/>
                    <w:jc w:val="center"/>
                    <w:rPr>
                      <w:snapToGrid w:val="0"/>
                      <w:color w:val="auto"/>
                      <w:sz w:val="21"/>
                      <w:szCs w:val="21"/>
                      <w:highlight w:val="none"/>
                    </w:rPr>
                  </w:pPr>
                  <w:r>
                    <w:rPr>
                      <w:snapToGrid w:val="0"/>
                      <w:color w:val="auto"/>
                      <w:sz w:val="21"/>
                      <w:szCs w:val="21"/>
                      <w:highlight w:val="none"/>
                    </w:rPr>
                    <w:t>0.2~0.6</w:t>
                  </w:r>
                </w:p>
              </w:tc>
              <w:tc>
                <w:tcPr>
                  <w:tcW w:w="390" w:type="pct"/>
                  <w:noWrap w:val="0"/>
                  <w:vAlign w:val="center"/>
                </w:tcPr>
                <w:p w14:paraId="5028BB0A">
                  <w:pPr>
                    <w:spacing w:line="240" w:lineRule="auto"/>
                    <w:ind w:firstLine="0" w:firstLineChars="0"/>
                    <w:jc w:val="center"/>
                    <w:rPr>
                      <w:rFonts w:hint="eastAsia" w:eastAsia="宋体"/>
                      <w:snapToGrid w:val="0"/>
                      <w:color w:val="auto"/>
                      <w:sz w:val="21"/>
                      <w:szCs w:val="21"/>
                      <w:highlight w:val="none"/>
                      <w:lang w:eastAsia="zh-CN"/>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2</w:t>
                  </w:r>
                  <w:r>
                    <w:rPr>
                      <w:snapToGrid w:val="0"/>
                      <w:color w:val="auto"/>
                      <w:sz w:val="21"/>
                      <w:szCs w:val="21"/>
                      <w:highlight w:val="none"/>
                    </w:rPr>
                    <w:t>/</w:t>
                  </w:r>
                  <w:r>
                    <w:rPr>
                      <w:rFonts w:hint="eastAsia"/>
                      <w:snapToGrid w:val="0"/>
                      <w:color w:val="auto"/>
                      <w:sz w:val="21"/>
                      <w:szCs w:val="21"/>
                      <w:highlight w:val="none"/>
                    </w:rPr>
                    <w:t>改后</w:t>
                  </w:r>
                  <w:r>
                    <w:rPr>
                      <w:rFonts w:hint="eastAsia"/>
                      <w:snapToGrid w:val="0"/>
                      <w:color w:val="auto"/>
                      <w:sz w:val="21"/>
                      <w:szCs w:val="21"/>
                      <w:highlight w:val="none"/>
                      <w:lang w:val="en-US" w:eastAsia="zh-CN"/>
                    </w:rPr>
                    <w:t>2</w:t>
                  </w:r>
                </w:p>
              </w:tc>
              <w:tc>
                <w:tcPr>
                  <w:tcW w:w="659" w:type="pct"/>
                  <w:noWrap w:val="0"/>
                  <w:vAlign w:val="center"/>
                </w:tcPr>
                <w:p w14:paraId="6968EA38">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改前</w:t>
                  </w:r>
                  <w:r>
                    <w:rPr>
                      <w:rFonts w:hint="eastAsia"/>
                      <w:color w:val="auto"/>
                      <w:sz w:val="21"/>
                      <w:szCs w:val="21"/>
                      <w:highlight w:val="none"/>
                      <w:lang w:val="en-US" w:eastAsia="zh-CN"/>
                    </w:rPr>
                    <w:t>6</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6</w:t>
                  </w:r>
                </w:p>
              </w:tc>
              <w:tc>
                <w:tcPr>
                  <w:tcW w:w="215" w:type="pct"/>
                  <w:noWrap w:val="0"/>
                  <w:vAlign w:val="center"/>
                </w:tcPr>
                <w:p w14:paraId="32D7F607">
                  <w:pPr>
                    <w:spacing w:line="240" w:lineRule="auto"/>
                    <w:ind w:firstLine="0" w:firstLineChars="0"/>
                    <w:jc w:val="center"/>
                    <w:rPr>
                      <w:color w:val="auto"/>
                      <w:sz w:val="21"/>
                      <w:szCs w:val="21"/>
                      <w:highlight w:val="none"/>
                    </w:rPr>
                  </w:pPr>
                  <w:r>
                    <w:rPr>
                      <w:rFonts w:hint="eastAsia"/>
                      <w:snapToGrid w:val="0"/>
                      <w:color w:val="auto"/>
                      <w:sz w:val="21"/>
                      <w:szCs w:val="21"/>
                      <w:highlight w:val="none"/>
                      <w:lang w:val="en-US" w:eastAsia="zh-CN"/>
                    </w:rPr>
                    <w:t>72</w:t>
                  </w:r>
                  <w:r>
                    <w:rPr>
                      <w:rFonts w:hint="eastAsia"/>
                      <w:snapToGrid w:val="0"/>
                      <w:color w:val="auto"/>
                      <w:sz w:val="21"/>
                      <w:szCs w:val="21"/>
                      <w:highlight w:val="none"/>
                    </w:rPr>
                    <w:t>户</w:t>
                  </w:r>
                </w:p>
              </w:tc>
              <w:tc>
                <w:tcPr>
                  <w:tcW w:w="528" w:type="pct"/>
                  <w:noWrap w:val="0"/>
                  <w:vAlign w:val="center"/>
                </w:tcPr>
                <w:p w14:paraId="00C01BA5">
                  <w:pPr>
                    <w:spacing w:line="240" w:lineRule="auto"/>
                    <w:ind w:firstLine="0" w:firstLineChars="0"/>
                    <w:jc w:val="center"/>
                    <w:rPr>
                      <w:rFonts w:hint="eastAsia"/>
                      <w:snapToGrid w:val="0"/>
                      <w:color w:val="auto"/>
                      <w:sz w:val="21"/>
                      <w:szCs w:val="21"/>
                      <w:highlight w:val="none"/>
                    </w:rPr>
                  </w:pPr>
                  <w:r>
                    <w:rPr>
                      <w:snapToGrid w:val="0"/>
                      <w:color w:val="auto"/>
                      <w:sz w:val="21"/>
                      <w:szCs w:val="21"/>
                      <w:highlight w:val="none"/>
                    </w:rPr>
                    <w:t>砖混结构/1层/</w:t>
                  </w:r>
                  <w:r>
                    <w:rPr>
                      <w:rFonts w:hint="eastAsia"/>
                      <w:snapToGrid w:val="0"/>
                      <w:color w:val="auto"/>
                      <w:sz w:val="21"/>
                      <w:szCs w:val="21"/>
                      <w:highlight w:val="none"/>
                    </w:rPr>
                    <w:t>侧对</w:t>
                  </w:r>
                </w:p>
              </w:tc>
            </w:tr>
            <w:tr w14:paraId="61489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vMerge w:val="continue"/>
                  <w:noWrap w:val="0"/>
                  <w:vAlign w:val="center"/>
                </w:tcPr>
                <w:p w14:paraId="1DC49B8C">
                  <w:pPr>
                    <w:spacing w:line="240" w:lineRule="auto"/>
                    <w:ind w:firstLine="0" w:firstLineChars="0"/>
                    <w:jc w:val="center"/>
                    <w:rPr>
                      <w:rFonts w:hint="eastAsia"/>
                      <w:color w:val="auto"/>
                      <w:sz w:val="21"/>
                      <w:szCs w:val="21"/>
                      <w:highlight w:val="none"/>
                    </w:rPr>
                  </w:pPr>
                </w:p>
              </w:tc>
              <w:tc>
                <w:tcPr>
                  <w:tcW w:w="447" w:type="pct"/>
                  <w:vMerge w:val="continue"/>
                  <w:noWrap w:val="0"/>
                  <w:vAlign w:val="center"/>
                </w:tcPr>
                <w:p w14:paraId="549F5D48">
                  <w:pPr>
                    <w:spacing w:line="240" w:lineRule="auto"/>
                    <w:ind w:firstLine="0" w:firstLineChars="0"/>
                    <w:jc w:val="center"/>
                    <w:rPr>
                      <w:rFonts w:hint="eastAsia"/>
                      <w:color w:val="auto"/>
                      <w:sz w:val="21"/>
                      <w:szCs w:val="21"/>
                      <w:highlight w:val="none"/>
                      <w:lang w:val="en-US" w:eastAsia="zh-CN"/>
                    </w:rPr>
                  </w:pPr>
                </w:p>
              </w:tc>
              <w:tc>
                <w:tcPr>
                  <w:tcW w:w="693" w:type="pct"/>
                  <w:vMerge w:val="continue"/>
                  <w:noWrap w:val="0"/>
                  <w:vAlign w:val="center"/>
                </w:tcPr>
                <w:p w14:paraId="620AFA57">
                  <w:pPr>
                    <w:spacing w:line="240" w:lineRule="auto"/>
                    <w:ind w:firstLine="0" w:firstLineChars="0"/>
                    <w:jc w:val="center"/>
                    <w:rPr>
                      <w:rFonts w:hint="eastAsia"/>
                      <w:snapToGrid w:val="0"/>
                      <w:color w:val="auto"/>
                      <w:sz w:val="21"/>
                      <w:szCs w:val="21"/>
                      <w:highlight w:val="none"/>
                    </w:rPr>
                  </w:pPr>
                </w:p>
              </w:tc>
              <w:tc>
                <w:tcPr>
                  <w:tcW w:w="528" w:type="pct"/>
                  <w:vMerge w:val="continue"/>
                  <w:noWrap w:val="0"/>
                  <w:vAlign w:val="center"/>
                </w:tcPr>
                <w:p w14:paraId="10BAB15F">
                  <w:pPr>
                    <w:spacing w:line="240" w:lineRule="auto"/>
                    <w:ind w:firstLine="0" w:firstLineChars="0"/>
                    <w:jc w:val="center"/>
                    <w:rPr>
                      <w:rFonts w:hint="eastAsia"/>
                      <w:snapToGrid w:val="0"/>
                      <w:color w:val="auto"/>
                      <w:sz w:val="21"/>
                      <w:szCs w:val="21"/>
                      <w:highlight w:val="none"/>
                    </w:rPr>
                  </w:pPr>
                </w:p>
              </w:tc>
              <w:tc>
                <w:tcPr>
                  <w:tcW w:w="560" w:type="pct"/>
                  <w:noWrap w:val="0"/>
                  <w:vAlign w:val="center"/>
                </w:tcPr>
                <w:p w14:paraId="544C3CDE">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道路右侧</w:t>
                  </w:r>
                </w:p>
              </w:tc>
              <w:tc>
                <w:tcPr>
                  <w:tcW w:w="765" w:type="pct"/>
                  <w:vMerge w:val="continue"/>
                  <w:noWrap w:val="0"/>
                  <w:vAlign w:val="center"/>
                </w:tcPr>
                <w:p w14:paraId="78A36E9C">
                  <w:pPr>
                    <w:spacing w:line="240" w:lineRule="auto"/>
                    <w:ind w:firstLine="0" w:firstLineChars="0"/>
                    <w:jc w:val="center"/>
                    <w:rPr>
                      <w:snapToGrid w:val="0"/>
                      <w:color w:val="auto"/>
                      <w:sz w:val="21"/>
                      <w:szCs w:val="21"/>
                      <w:highlight w:val="none"/>
                    </w:rPr>
                  </w:pPr>
                </w:p>
              </w:tc>
              <w:tc>
                <w:tcPr>
                  <w:tcW w:w="390" w:type="pct"/>
                  <w:noWrap w:val="0"/>
                  <w:vAlign w:val="center"/>
                </w:tcPr>
                <w:p w14:paraId="5B976FA1">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4</w:t>
                  </w:r>
                  <w:r>
                    <w:rPr>
                      <w:snapToGrid w:val="0"/>
                      <w:color w:val="auto"/>
                      <w:sz w:val="21"/>
                      <w:szCs w:val="21"/>
                      <w:highlight w:val="none"/>
                    </w:rPr>
                    <w:t>/</w:t>
                  </w:r>
                  <w:r>
                    <w:rPr>
                      <w:rFonts w:hint="eastAsia"/>
                      <w:snapToGrid w:val="0"/>
                      <w:color w:val="auto"/>
                      <w:sz w:val="21"/>
                      <w:szCs w:val="21"/>
                      <w:highlight w:val="none"/>
                    </w:rPr>
                    <w:t>改后</w:t>
                  </w:r>
                  <w:r>
                    <w:rPr>
                      <w:rFonts w:hint="eastAsia"/>
                      <w:snapToGrid w:val="0"/>
                      <w:color w:val="auto"/>
                      <w:sz w:val="21"/>
                      <w:szCs w:val="21"/>
                      <w:highlight w:val="none"/>
                      <w:lang w:val="en-US" w:eastAsia="zh-CN"/>
                    </w:rPr>
                    <w:t>4</w:t>
                  </w:r>
                </w:p>
              </w:tc>
              <w:tc>
                <w:tcPr>
                  <w:tcW w:w="659" w:type="pct"/>
                  <w:noWrap w:val="0"/>
                  <w:vAlign w:val="center"/>
                </w:tcPr>
                <w:p w14:paraId="03BF8093">
                  <w:pPr>
                    <w:spacing w:line="240" w:lineRule="auto"/>
                    <w:ind w:firstLine="0" w:firstLineChars="0"/>
                    <w:jc w:val="center"/>
                    <w:rPr>
                      <w:color w:val="auto"/>
                      <w:sz w:val="21"/>
                      <w:szCs w:val="21"/>
                      <w:highlight w:val="none"/>
                    </w:rPr>
                  </w:pPr>
                  <w:r>
                    <w:rPr>
                      <w:rFonts w:hint="eastAsia"/>
                      <w:color w:val="auto"/>
                      <w:sz w:val="21"/>
                      <w:szCs w:val="21"/>
                      <w:highlight w:val="none"/>
                    </w:rPr>
                    <w:t>改前</w:t>
                  </w:r>
                  <w:r>
                    <w:rPr>
                      <w:rFonts w:hint="eastAsia"/>
                      <w:color w:val="auto"/>
                      <w:sz w:val="21"/>
                      <w:szCs w:val="21"/>
                      <w:highlight w:val="none"/>
                      <w:lang w:val="en-US" w:eastAsia="zh-CN"/>
                    </w:rPr>
                    <w:t>8</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8</w:t>
                  </w:r>
                </w:p>
              </w:tc>
              <w:tc>
                <w:tcPr>
                  <w:tcW w:w="215" w:type="pct"/>
                  <w:noWrap w:val="0"/>
                  <w:vAlign w:val="center"/>
                </w:tcPr>
                <w:p w14:paraId="6E4E9B59">
                  <w:pPr>
                    <w:spacing w:line="240" w:lineRule="auto"/>
                    <w:ind w:firstLine="0" w:firstLineChars="0"/>
                    <w:jc w:val="center"/>
                    <w:rPr>
                      <w:color w:val="auto"/>
                      <w:sz w:val="21"/>
                      <w:szCs w:val="21"/>
                      <w:highlight w:val="none"/>
                    </w:rPr>
                  </w:pPr>
                  <w:r>
                    <w:rPr>
                      <w:rFonts w:hint="eastAsia"/>
                      <w:snapToGrid w:val="0"/>
                      <w:color w:val="auto"/>
                      <w:sz w:val="21"/>
                      <w:szCs w:val="21"/>
                      <w:highlight w:val="none"/>
                      <w:lang w:val="en-US" w:eastAsia="zh-CN"/>
                    </w:rPr>
                    <w:t>80</w:t>
                  </w:r>
                  <w:r>
                    <w:rPr>
                      <w:rFonts w:hint="eastAsia"/>
                      <w:snapToGrid w:val="0"/>
                      <w:color w:val="auto"/>
                      <w:sz w:val="21"/>
                      <w:szCs w:val="21"/>
                      <w:highlight w:val="none"/>
                    </w:rPr>
                    <w:t>户</w:t>
                  </w:r>
                </w:p>
              </w:tc>
              <w:tc>
                <w:tcPr>
                  <w:tcW w:w="528" w:type="pct"/>
                  <w:noWrap w:val="0"/>
                  <w:vAlign w:val="center"/>
                </w:tcPr>
                <w:p w14:paraId="64EE32C2">
                  <w:pPr>
                    <w:spacing w:line="240" w:lineRule="auto"/>
                    <w:ind w:firstLine="0" w:firstLineChars="0"/>
                    <w:jc w:val="center"/>
                    <w:rPr>
                      <w:snapToGrid w:val="0"/>
                      <w:color w:val="auto"/>
                      <w:sz w:val="21"/>
                      <w:szCs w:val="21"/>
                      <w:highlight w:val="none"/>
                    </w:rPr>
                  </w:pPr>
                  <w:r>
                    <w:rPr>
                      <w:snapToGrid w:val="0"/>
                      <w:color w:val="auto"/>
                      <w:sz w:val="21"/>
                      <w:szCs w:val="21"/>
                      <w:highlight w:val="none"/>
                    </w:rPr>
                    <w:t>砖混结构/1层/</w:t>
                  </w:r>
                  <w:r>
                    <w:rPr>
                      <w:rFonts w:hint="eastAsia"/>
                      <w:snapToGrid w:val="0"/>
                      <w:color w:val="auto"/>
                      <w:sz w:val="21"/>
                      <w:szCs w:val="21"/>
                      <w:highlight w:val="none"/>
                    </w:rPr>
                    <w:t>侧对</w:t>
                  </w:r>
                </w:p>
              </w:tc>
            </w:tr>
            <w:tr w14:paraId="7298A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11" w:type="pct"/>
                  <w:noWrap w:val="0"/>
                  <w:vAlign w:val="center"/>
                </w:tcPr>
                <w:p w14:paraId="0DA8EE87">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1</w:t>
                  </w:r>
                  <w:r>
                    <w:rPr>
                      <w:color w:val="auto"/>
                      <w:sz w:val="21"/>
                      <w:szCs w:val="21"/>
                      <w:highlight w:val="none"/>
                    </w:rPr>
                    <w:t>0</w:t>
                  </w:r>
                </w:p>
              </w:tc>
              <w:tc>
                <w:tcPr>
                  <w:tcW w:w="447" w:type="pct"/>
                  <w:noWrap w:val="0"/>
                  <w:vAlign w:val="center"/>
                </w:tcPr>
                <w:p w14:paraId="0FE04BD4">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万宝山</w:t>
                  </w:r>
                </w:p>
              </w:tc>
              <w:tc>
                <w:tcPr>
                  <w:tcW w:w="693" w:type="pct"/>
                  <w:noWrap w:val="0"/>
                  <w:vAlign w:val="center"/>
                </w:tcPr>
                <w:p w14:paraId="3E8F8107">
                  <w:pPr>
                    <w:spacing w:line="240" w:lineRule="auto"/>
                    <w:ind w:firstLine="0" w:firstLineChars="0"/>
                    <w:jc w:val="center"/>
                    <w:rPr>
                      <w:rFonts w:hint="eastAsia"/>
                      <w:snapToGrid w:val="0"/>
                      <w:color w:val="auto"/>
                      <w:sz w:val="21"/>
                      <w:szCs w:val="21"/>
                      <w:highlight w:val="none"/>
                    </w:rPr>
                  </w:pPr>
                  <w:r>
                    <w:rPr>
                      <w:rFonts w:hint="eastAsia"/>
                      <w:snapToGrid w:val="0"/>
                      <w:color w:val="auto"/>
                      <w:sz w:val="21"/>
                      <w:szCs w:val="21"/>
                      <w:highlight w:val="none"/>
                    </w:rPr>
                    <w:t>K</w:t>
                  </w:r>
                  <w:r>
                    <w:rPr>
                      <w:rFonts w:hint="eastAsia"/>
                      <w:snapToGrid w:val="0"/>
                      <w:color w:val="auto"/>
                      <w:sz w:val="21"/>
                      <w:szCs w:val="21"/>
                      <w:highlight w:val="none"/>
                      <w:lang w:val="en-US" w:eastAsia="zh-CN"/>
                    </w:rPr>
                    <w:t>17</w:t>
                  </w:r>
                  <w:r>
                    <w:rPr>
                      <w:snapToGrid w:val="0"/>
                      <w:color w:val="auto"/>
                      <w:sz w:val="21"/>
                      <w:szCs w:val="21"/>
                      <w:highlight w:val="none"/>
                    </w:rPr>
                    <w:t>+</w:t>
                  </w:r>
                  <w:r>
                    <w:rPr>
                      <w:rFonts w:hint="eastAsia"/>
                      <w:snapToGrid w:val="0"/>
                      <w:color w:val="auto"/>
                      <w:sz w:val="21"/>
                      <w:szCs w:val="21"/>
                      <w:highlight w:val="none"/>
                      <w:lang w:val="en-US" w:eastAsia="zh-CN"/>
                    </w:rPr>
                    <w:t>819</w:t>
                  </w:r>
                  <w:r>
                    <w:rPr>
                      <w:snapToGrid w:val="0"/>
                      <w:color w:val="auto"/>
                      <w:sz w:val="21"/>
                      <w:szCs w:val="21"/>
                      <w:highlight w:val="none"/>
                    </w:rPr>
                    <w:t>~K</w:t>
                  </w:r>
                  <w:r>
                    <w:rPr>
                      <w:rFonts w:hint="eastAsia"/>
                      <w:snapToGrid w:val="0"/>
                      <w:color w:val="auto"/>
                      <w:sz w:val="21"/>
                      <w:szCs w:val="21"/>
                      <w:highlight w:val="none"/>
                      <w:lang w:val="en-US" w:eastAsia="zh-CN"/>
                    </w:rPr>
                    <w:t>18</w:t>
                  </w:r>
                  <w:r>
                    <w:rPr>
                      <w:snapToGrid w:val="0"/>
                      <w:color w:val="auto"/>
                      <w:sz w:val="21"/>
                      <w:szCs w:val="21"/>
                      <w:highlight w:val="none"/>
                    </w:rPr>
                    <w:t>+</w:t>
                  </w:r>
                  <w:r>
                    <w:rPr>
                      <w:rFonts w:hint="eastAsia"/>
                      <w:snapToGrid w:val="0"/>
                      <w:color w:val="auto"/>
                      <w:sz w:val="21"/>
                      <w:szCs w:val="21"/>
                      <w:highlight w:val="none"/>
                      <w:lang w:val="en-US" w:eastAsia="zh-CN"/>
                    </w:rPr>
                    <w:t>58</w:t>
                  </w:r>
                </w:p>
              </w:tc>
              <w:tc>
                <w:tcPr>
                  <w:tcW w:w="528" w:type="pct"/>
                  <w:noWrap w:val="0"/>
                  <w:vAlign w:val="center"/>
                </w:tcPr>
                <w:p w14:paraId="0465C927">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路基</w:t>
                  </w:r>
                </w:p>
              </w:tc>
              <w:tc>
                <w:tcPr>
                  <w:tcW w:w="560" w:type="pct"/>
                  <w:noWrap w:val="0"/>
                  <w:vAlign w:val="center"/>
                </w:tcPr>
                <w:p w14:paraId="3E7CA0AF">
                  <w:pPr>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道路</w:t>
                  </w:r>
                  <w:r>
                    <w:rPr>
                      <w:rFonts w:hint="eastAsia"/>
                      <w:snapToGrid w:val="0"/>
                      <w:color w:val="auto"/>
                      <w:sz w:val="21"/>
                      <w:szCs w:val="21"/>
                      <w:highlight w:val="none"/>
                      <w:lang w:val="en-US" w:eastAsia="zh-CN"/>
                    </w:rPr>
                    <w:t>右</w:t>
                  </w:r>
                  <w:r>
                    <w:rPr>
                      <w:rFonts w:hint="eastAsia"/>
                      <w:snapToGrid w:val="0"/>
                      <w:color w:val="auto"/>
                      <w:sz w:val="21"/>
                      <w:szCs w:val="21"/>
                      <w:highlight w:val="none"/>
                    </w:rPr>
                    <w:t>侧</w:t>
                  </w:r>
                </w:p>
              </w:tc>
              <w:tc>
                <w:tcPr>
                  <w:tcW w:w="765" w:type="pct"/>
                  <w:noWrap w:val="0"/>
                  <w:vAlign w:val="center"/>
                </w:tcPr>
                <w:p w14:paraId="1D03D3A7">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0.1~0.2</w:t>
                  </w:r>
                </w:p>
              </w:tc>
              <w:tc>
                <w:tcPr>
                  <w:tcW w:w="390" w:type="pct"/>
                  <w:noWrap w:val="0"/>
                  <w:vAlign w:val="center"/>
                </w:tcPr>
                <w:p w14:paraId="62A11148">
                  <w:pPr>
                    <w:spacing w:line="240" w:lineRule="auto"/>
                    <w:ind w:firstLine="0" w:firstLineChars="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rPr>
                    <w:t>改前</w:t>
                  </w:r>
                  <w:r>
                    <w:rPr>
                      <w:rFonts w:hint="eastAsia"/>
                      <w:snapToGrid w:val="0"/>
                      <w:color w:val="auto"/>
                      <w:sz w:val="21"/>
                      <w:szCs w:val="21"/>
                      <w:highlight w:val="none"/>
                      <w:lang w:val="en-US" w:eastAsia="zh-CN"/>
                    </w:rPr>
                    <w:t>11</w:t>
                  </w:r>
                  <w:r>
                    <w:rPr>
                      <w:snapToGrid w:val="0"/>
                      <w:color w:val="auto"/>
                      <w:sz w:val="21"/>
                      <w:szCs w:val="21"/>
                      <w:highlight w:val="none"/>
                    </w:rPr>
                    <w:t>/</w:t>
                  </w:r>
                  <w:r>
                    <w:rPr>
                      <w:rFonts w:hint="eastAsia"/>
                      <w:snapToGrid w:val="0"/>
                      <w:color w:val="auto"/>
                      <w:sz w:val="21"/>
                      <w:szCs w:val="21"/>
                      <w:highlight w:val="none"/>
                    </w:rPr>
                    <w:t>改后</w:t>
                  </w:r>
                  <w:r>
                    <w:rPr>
                      <w:rFonts w:hint="eastAsia"/>
                      <w:snapToGrid w:val="0"/>
                      <w:color w:val="auto"/>
                      <w:sz w:val="21"/>
                      <w:szCs w:val="21"/>
                      <w:highlight w:val="none"/>
                      <w:lang w:val="en-US" w:eastAsia="zh-CN"/>
                    </w:rPr>
                    <w:t>11</w:t>
                  </w:r>
                </w:p>
              </w:tc>
              <w:tc>
                <w:tcPr>
                  <w:tcW w:w="659" w:type="pct"/>
                  <w:noWrap w:val="0"/>
                  <w:vAlign w:val="center"/>
                </w:tcPr>
                <w:p w14:paraId="7B9641AE">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改前</w:t>
                  </w:r>
                  <w:r>
                    <w:rPr>
                      <w:rFonts w:hint="eastAsia"/>
                      <w:color w:val="auto"/>
                      <w:sz w:val="21"/>
                      <w:szCs w:val="21"/>
                      <w:highlight w:val="none"/>
                      <w:lang w:val="en-US" w:eastAsia="zh-CN"/>
                    </w:rPr>
                    <w:t>15</w:t>
                  </w:r>
                  <w:r>
                    <w:rPr>
                      <w:color w:val="auto"/>
                      <w:sz w:val="21"/>
                      <w:szCs w:val="21"/>
                      <w:highlight w:val="none"/>
                    </w:rPr>
                    <w:t>/</w:t>
                  </w:r>
                  <w:r>
                    <w:rPr>
                      <w:rFonts w:hint="eastAsia"/>
                      <w:color w:val="auto"/>
                      <w:sz w:val="21"/>
                      <w:szCs w:val="21"/>
                      <w:highlight w:val="none"/>
                    </w:rPr>
                    <w:t>改后</w:t>
                  </w:r>
                  <w:r>
                    <w:rPr>
                      <w:rFonts w:hint="eastAsia"/>
                      <w:color w:val="auto"/>
                      <w:sz w:val="21"/>
                      <w:szCs w:val="21"/>
                      <w:highlight w:val="none"/>
                      <w:lang w:val="en-US" w:eastAsia="zh-CN"/>
                    </w:rPr>
                    <w:t>15</w:t>
                  </w:r>
                </w:p>
              </w:tc>
              <w:tc>
                <w:tcPr>
                  <w:tcW w:w="215" w:type="pct"/>
                  <w:noWrap w:val="0"/>
                  <w:vAlign w:val="center"/>
                </w:tcPr>
                <w:p w14:paraId="01D13EEF">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64</w:t>
                  </w:r>
                  <w:r>
                    <w:rPr>
                      <w:rFonts w:hint="eastAsia"/>
                      <w:color w:val="auto"/>
                      <w:sz w:val="21"/>
                      <w:szCs w:val="21"/>
                      <w:highlight w:val="none"/>
                    </w:rPr>
                    <w:t>户</w:t>
                  </w:r>
                </w:p>
              </w:tc>
              <w:tc>
                <w:tcPr>
                  <w:tcW w:w="528" w:type="pct"/>
                  <w:noWrap w:val="0"/>
                  <w:vAlign w:val="center"/>
                </w:tcPr>
                <w:p w14:paraId="119B246B">
                  <w:pPr>
                    <w:spacing w:line="240" w:lineRule="auto"/>
                    <w:ind w:firstLine="0" w:firstLineChars="0"/>
                    <w:jc w:val="center"/>
                    <w:rPr>
                      <w:rFonts w:hint="eastAsia"/>
                      <w:snapToGrid w:val="0"/>
                      <w:color w:val="auto"/>
                      <w:sz w:val="21"/>
                      <w:szCs w:val="21"/>
                      <w:highlight w:val="none"/>
                    </w:rPr>
                  </w:pPr>
                  <w:r>
                    <w:rPr>
                      <w:snapToGrid w:val="0"/>
                      <w:color w:val="auto"/>
                      <w:sz w:val="21"/>
                      <w:szCs w:val="21"/>
                      <w:highlight w:val="none"/>
                    </w:rPr>
                    <w:t>砖混结构/1层/</w:t>
                  </w:r>
                  <w:r>
                    <w:rPr>
                      <w:rFonts w:hint="eastAsia"/>
                      <w:snapToGrid w:val="0"/>
                      <w:color w:val="auto"/>
                      <w:sz w:val="21"/>
                      <w:szCs w:val="21"/>
                      <w:highlight w:val="none"/>
                    </w:rPr>
                    <w:t>正对</w:t>
                  </w:r>
                </w:p>
              </w:tc>
            </w:tr>
          </w:tbl>
          <w:p w14:paraId="35A1DC2F">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kern w:val="0"/>
                <w:highlight w:val="none"/>
              </w:rPr>
            </w:pPr>
            <w:r>
              <w:rPr>
                <w:rFonts w:hint="eastAsia"/>
                <w:b/>
                <w:color w:val="auto"/>
                <w:kern w:val="0"/>
                <w:highlight w:val="none"/>
              </w:rPr>
              <w:t>3</w:t>
            </w:r>
            <w:r>
              <w:rPr>
                <w:b/>
                <w:color w:val="auto"/>
                <w:kern w:val="0"/>
                <w:highlight w:val="none"/>
              </w:rPr>
              <w:t>、地表水环境保护目标</w:t>
            </w:r>
          </w:p>
          <w:p w14:paraId="0DBCBCC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kern w:val="0"/>
                <w:highlight w:val="none"/>
              </w:rPr>
            </w:pPr>
            <w:r>
              <w:rPr>
                <w:color w:val="auto"/>
                <w:kern w:val="0"/>
                <w:highlight w:val="none"/>
              </w:rPr>
              <w:t>地表水环境保护目标主要包括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color w:val="auto"/>
                <w:kern w:val="0"/>
                <w:highlight w:val="none"/>
              </w:rPr>
              <w:t>。因此，</w:t>
            </w:r>
            <w:r>
              <w:rPr>
                <w:color w:val="auto"/>
                <w:kern w:val="0"/>
                <w:highlight w:val="none"/>
              </w:rPr>
              <w:t>本项目</w:t>
            </w:r>
            <w:r>
              <w:rPr>
                <w:rFonts w:hint="eastAsia"/>
                <w:color w:val="auto"/>
                <w:kern w:val="0"/>
                <w:highlight w:val="none"/>
              </w:rPr>
              <w:t>无</w:t>
            </w:r>
            <w:r>
              <w:rPr>
                <w:color w:val="auto"/>
                <w:kern w:val="0"/>
                <w:highlight w:val="none"/>
              </w:rPr>
              <w:t>地表水环境保护目标</w:t>
            </w:r>
            <w:r>
              <w:rPr>
                <w:rFonts w:hint="eastAsia"/>
                <w:color w:val="auto"/>
                <w:kern w:val="0"/>
                <w:highlight w:val="none"/>
              </w:rPr>
              <w:t>。</w:t>
            </w:r>
          </w:p>
          <w:p w14:paraId="7DCDEEA3">
            <w:pPr>
              <w:pStyle w:val="12"/>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yellow"/>
                <w:lang w:val="en-US" w:eastAsia="zh-CN"/>
              </w:rPr>
              <w:t>本项目</w:t>
            </w:r>
            <w:r>
              <w:rPr>
                <w:rFonts w:hint="eastAsia" w:ascii="Times New Roman" w:hAnsi="Times New Roman" w:eastAsia="宋体" w:cs="Times New Roman"/>
                <w:color w:val="auto"/>
                <w:sz w:val="24"/>
                <w:szCs w:val="24"/>
                <w:highlight w:val="yellow"/>
                <w:lang w:val="en-US" w:eastAsia="zh-CN"/>
              </w:rPr>
              <w:t>利用原有小桥</w:t>
            </w:r>
            <w:r>
              <w:rPr>
                <w:rFonts w:hint="eastAsia" w:cs="Times New Roman"/>
                <w:color w:val="auto"/>
                <w:sz w:val="24"/>
                <w:szCs w:val="24"/>
                <w:highlight w:val="yellow"/>
                <w:lang w:val="en-US" w:eastAsia="zh-CN"/>
              </w:rPr>
              <w:t>1</w:t>
            </w:r>
            <w:r>
              <w:rPr>
                <w:rFonts w:hint="default" w:ascii="Times New Roman" w:hAnsi="Times New Roman" w:eastAsia="宋体" w:cs="Times New Roman"/>
                <w:color w:val="auto"/>
                <w:sz w:val="24"/>
                <w:szCs w:val="24"/>
                <w:highlight w:val="yellow"/>
                <w:lang w:val="en-US" w:eastAsia="zh-CN"/>
              </w:rPr>
              <w:t>座，</w:t>
            </w:r>
            <w:r>
              <w:rPr>
                <w:rFonts w:hint="eastAsia" w:cs="Times New Roman"/>
                <w:color w:val="auto"/>
                <w:sz w:val="24"/>
                <w:szCs w:val="24"/>
                <w:highlight w:val="yellow"/>
                <w:lang w:val="en-US" w:eastAsia="zh-CN"/>
              </w:rPr>
              <w:t>跨越无名</w:t>
            </w:r>
            <w:r>
              <w:rPr>
                <w:rFonts w:hint="default" w:ascii="Times New Roman" w:hAnsi="Times New Roman" w:eastAsia="宋体" w:cs="Times New Roman"/>
                <w:color w:val="auto"/>
                <w:sz w:val="24"/>
                <w:szCs w:val="24"/>
                <w:highlight w:val="yellow"/>
                <w:lang w:val="en-US" w:eastAsia="zh-CN"/>
              </w:rPr>
              <w:t>沟渠，</w:t>
            </w:r>
            <w:r>
              <w:rPr>
                <w:rFonts w:hint="eastAsia" w:cs="Times New Roman"/>
                <w:color w:val="auto"/>
                <w:sz w:val="24"/>
                <w:szCs w:val="24"/>
                <w:highlight w:val="yellow"/>
                <w:lang w:val="en-US" w:eastAsia="zh-CN"/>
              </w:rPr>
              <w:t>为季节性沟渠，无规划水体类别，主要作用为灌溉。</w:t>
            </w:r>
          </w:p>
          <w:p w14:paraId="32AD7D65">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cs="Times New Roman"/>
                <w:b/>
                <w:color w:val="auto"/>
                <w:kern w:val="0"/>
                <w:highlight w:val="none"/>
                <w:lang w:val="en-US" w:eastAsia="zh-CN"/>
              </w:rPr>
            </w:pPr>
            <w:r>
              <w:rPr>
                <w:rFonts w:hint="eastAsia" w:ascii="Times New Roman" w:hAnsi="Times New Roman" w:eastAsia="宋体" w:cs="Times New Roman"/>
                <w:b/>
                <w:color w:val="auto"/>
                <w:kern w:val="0"/>
                <w:highlight w:val="none"/>
                <w:lang w:val="en-US" w:eastAsia="zh-CN"/>
              </w:rPr>
              <w:t>地下水环境保护目标</w:t>
            </w:r>
          </w:p>
          <w:p w14:paraId="225D09AC">
            <w:pPr>
              <w:pStyle w:val="12"/>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highlight w:val="yellow"/>
                <w:lang w:val="en-US" w:eastAsia="zh-CN"/>
              </w:rPr>
              <w:t>根据</w:t>
            </w:r>
            <w:r>
              <w:rPr>
                <w:rFonts w:hint="eastAsia" w:cs="Times New Roman"/>
                <w:color w:val="auto"/>
                <w:sz w:val="24"/>
                <w:szCs w:val="24"/>
                <w:highlight w:val="yellow"/>
                <w:lang w:val="en-US" w:eastAsia="zh-CN"/>
              </w:rPr>
              <w:t>《绥化市兰西县农村饮用水水源保护区划分技术报告》（2016.11）、</w:t>
            </w:r>
            <w:r>
              <w:rPr>
                <w:rFonts w:hint="eastAsia" w:ascii="Times New Roman" w:hAnsi="Times New Roman" w:eastAsia="宋体" w:cs="Times New Roman"/>
                <w:color w:val="auto"/>
                <w:sz w:val="24"/>
                <w:szCs w:val="24"/>
                <w:highlight w:val="yellow"/>
                <w:lang w:val="en-US" w:eastAsia="zh-CN"/>
              </w:rPr>
              <w:t>《</w:t>
            </w:r>
            <w:r>
              <w:rPr>
                <w:rFonts w:hint="default" w:ascii="Times New Roman" w:hAnsi="Times New Roman" w:eastAsia="宋体" w:cs="Times New Roman"/>
                <w:color w:val="auto"/>
                <w:sz w:val="24"/>
                <w:szCs w:val="24"/>
                <w:highlight w:val="yellow"/>
                <w:lang w:val="en-US" w:eastAsia="zh-CN"/>
              </w:rPr>
              <w:t>绥化市兰西县农村集中式饮用水水源保护区划分技术报告</w:t>
            </w:r>
            <w:r>
              <w:rPr>
                <w:rFonts w:hint="eastAsia" w:ascii="Times New Roman" w:hAnsi="Times New Roman" w:eastAsia="宋体" w:cs="Times New Roman"/>
                <w:color w:val="auto"/>
                <w:sz w:val="24"/>
                <w:szCs w:val="24"/>
                <w:highlight w:val="yellow"/>
                <w:lang w:val="en-US" w:eastAsia="zh-CN"/>
              </w:rPr>
              <w:t>》</w:t>
            </w:r>
            <w:r>
              <w:rPr>
                <w:rFonts w:hint="eastAsia" w:cs="Times New Roman"/>
                <w:color w:val="auto"/>
                <w:sz w:val="24"/>
                <w:szCs w:val="24"/>
                <w:highlight w:val="yellow"/>
                <w:lang w:val="en-US" w:eastAsia="zh-CN"/>
              </w:rPr>
              <w:t>（2017.11）、《绥化市兰西县燎原镇等14处农村饮用水水源保护区调整技术报告》（2020.05）</w:t>
            </w:r>
            <w:r>
              <w:rPr>
                <w:rFonts w:hint="eastAsia" w:ascii="Times New Roman" w:hAnsi="Times New Roman" w:eastAsia="宋体" w:cs="Times New Roman"/>
                <w:color w:val="auto"/>
                <w:sz w:val="24"/>
                <w:szCs w:val="24"/>
                <w:highlight w:val="yellow"/>
                <w:lang w:val="en-US" w:eastAsia="zh-CN"/>
              </w:rPr>
              <w:t>及现场踏勘情况，沿线村屯中前回春岭有1</w:t>
            </w:r>
            <w:r>
              <w:rPr>
                <w:rFonts w:hint="eastAsia" w:cs="Times New Roman"/>
                <w:color w:val="auto"/>
                <w:sz w:val="24"/>
                <w:szCs w:val="24"/>
                <w:highlight w:val="yellow"/>
                <w:lang w:val="en-US" w:eastAsia="zh-CN"/>
              </w:rPr>
              <w:t>处水源地</w:t>
            </w:r>
            <w:r>
              <w:rPr>
                <w:rFonts w:hint="eastAsia" w:ascii="Times New Roman" w:hAnsi="Times New Roman" w:eastAsia="宋体" w:cs="Times New Roman"/>
                <w:color w:val="auto"/>
                <w:sz w:val="24"/>
                <w:szCs w:val="24"/>
                <w:highlight w:val="yellow"/>
                <w:lang w:val="en-US" w:eastAsia="zh-CN"/>
              </w:rPr>
              <w:t>、樊家窝棚有1</w:t>
            </w:r>
            <w:r>
              <w:rPr>
                <w:rFonts w:hint="eastAsia" w:cs="Times New Roman"/>
                <w:color w:val="auto"/>
                <w:sz w:val="24"/>
                <w:szCs w:val="24"/>
                <w:highlight w:val="yellow"/>
                <w:lang w:val="en-US" w:eastAsia="zh-CN"/>
              </w:rPr>
              <w:t>处水源地</w:t>
            </w:r>
            <w:r>
              <w:rPr>
                <w:rFonts w:hint="eastAsia" w:ascii="Times New Roman" w:hAnsi="Times New Roman" w:eastAsia="宋体" w:cs="Times New Roman"/>
                <w:color w:val="auto"/>
                <w:sz w:val="24"/>
                <w:szCs w:val="24"/>
                <w:highlight w:val="yellow"/>
                <w:lang w:val="en-US" w:eastAsia="zh-CN"/>
              </w:rPr>
              <w:t>、长江村有1</w:t>
            </w:r>
            <w:r>
              <w:rPr>
                <w:rFonts w:hint="eastAsia" w:cs="Times New Roman"/>
                <w:color w:val="auto"/>
                <w:sz w:val="24"/>
                <w:szCs w:val="24"/>
                <w:highlight w:val="yellow"/>
                <w:lang w:val="en-US" w:eastAsia="zh-CN"/>
              </w:rPr>
              <w:t>处水源地</w:t>
            </w:r>
            <w:r>
              <w:rPr>
                <w:rFonts w:hint="eastAsia" w:ascii="Times New Roman" w:hAnsi="Times New Roman" w:eastAsia="宋体" w:cs="Times New Roman"/>
                <w:color w:val="auto"/>
                <w:sz w:val="24"/>
                <w:szCs w:val="24"/>
                <w:highlight w:val="yellow"/>
                <w:lang w:val="en-US" w:eastAsia="zh-CN"/>
              </w:rPr>
              <w:t>，一级保护区</w:t>
            </w:r>
            <w:r>
              <w:rPr>
                <w:rFonts w:hint="eastAsia" w:cs="Times New Roman"/>
                <w:color w:val="auto"/>
                <w:sz w:val="24"/>
                <w:szCs w:val="24"/>
                <w:highlight w:val="yellow"/>
                <w:lang w:val="en-US" w:eastAsia="zh-CN"/>
              </w:rPr>
              <w:t>均</w:t>
            </w:r>
            <w:r>
              <w:rPr>
                <w:rFonts w:hint="eastAsia" w:ascii="Times New Roman" w:hAnsi="Times New Roman" w:eastAsia="宋体" w:cs="Times New Roman"/>
                <w:color w:val="auto"/>
                <w:sz w:val="24"/>
                <w:szCs w:val="24"/>
                <w:highlight w:val="yellow"/>
                <w:lang w:val="en-US" w:eastAsia="zh-CN"/>
              </w:rPr>
              <w:t>以水源井为圆心，30米为半径的圆形区域，本项目路线不穿越地下水水源地保护区范围，因此无地下水环境保护目标</w:t>
            </w:r>
            <w:r>
              <w:rPr>
                <w:rFonts w:hint="eastAsia" w:cs="Times New Roman"/>
                <w:color w:val="auto"/>
                <w:sz w:val="24"/>
                <w:szCs w:val="24"/>
                <w:highlight w:val="yellow"/>
                <w:lang w:val="en-US" w:eastAsia="zh-CN"/>
              </w:rPr>
              <w:t>，沿线水源地分布情况见下表。</w:t>
            </w:r>
          </w:p>
          <w:p w14:paraId="5704FF85">
            <w:pPr>
              <w:pStyle w:val="27"/>
              <w:adjustRightInd w:val="0"/>
              <w:snapToGrid w:val="0"/>
              <w:spacing w:line="480" w:lineRule="exact"/>
              <w:ind w:firstLine="482"/>
              <w:rPr>
                <w:rFonts w:hint="eastAsia" w:eastAsia="宋体"/>
                <w:b/>
                <w:color w:val="auto"/>
                <w:sz w:val="24"/>
                <w:highlight w:val="yellow"/>
                <w:lang w:val="en-US" w:eastAsia="zh-CN"/>
              </w:rPr>
            </w:pPr>
            <w:r>
              <w:rPr>
                <w:rFonts w:eastAsia="宋体"/>
                <w:b/>
                <w:color w:val="auto"/>
                <w:sz w:val="24"/>
                <w:highlight w:val="yellow"/>
              </w:rPr>
              <w:t>表</w:t>
            </w:r>
            <w:r>
              <w:rPr>
                <w:rFonts w:hint="default" w:eastAsia="宋体"/>
                <w:b/>
                <w:color w:val="auto"/>
                <w:sz w:val="24"/>
                <w:highlight w:val="yellow"/>
              </w:rPr>
              <w:t>3-</w:t>
            </w:r>
            <w:r>
              <w:rPr>
                <w:rFonts w:hint="eastAsia" w:eastAsia="宋体"/>
                <w:b/>
                <w:color w:val="auto"/>
                <w:sz w:val="24"/>
                <w:highlight w:val="yellow"/>
                <w:lang w:val="en-US" w:eastAsia="zh-CN"/>
              </w:rPr>
              <w:t>4</w:t>
            </w:r>
            <w:r>
              <w:rPr>
                <w:rFonts w:eastAsia="宋体"/>
                <w:b/>
                <w:color w:val="auto"/>
                <w:sz w:val="24"/>
                <w:highlight w:val="yellow"/>
              </w:rPr>
              <w:t xml:space="preserve"> </w:t>
            </w:r>
            <w:r>
              <w:rPr>
                <w:rFonts w:hint="eastAsia" w:eastAsia="宋体"/>
                <w:b/>
                <w:color w:val="auto"/>
                <w:sz w:val="24"/>
                <w:highlight w:val="yellow"/>
                <w:lang w:val="en-US" w:eastAsia="zh-CN"/>
              </w:rPr>
              <w:t>沿线水源地分布情况表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7"/>
              <w:gridCol w:w="1386"/>
              <w:gridCol w:w="2149"/>
              <w:gridCol w:w="1634"/>
              <w:gridCol w:w="1735"/>
            </w:tblGrid>
            <w:tr w14:paraId="7EDAB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tblHeader/>
                <w:jc w:val="center"/>
              </w:trPr>
              <w:tc>
                <w:tcPr>
                  <w:tcW w:w="429" w:type="pct"/>
                  <w:vMerge w:val="restart"/>
                  <w:noWrap w:val="0"/>
                  <w:vAlign w:val="center"/>
                </w:tcPr>
                <w:p w14:paraId="3FA7FBAF">
                  <w:pPr>
                    <w:spacing w:line="240" w:lineRule="auto"/>
                    <w:ind w:firstLine="0" w:firstLineChars="0"/>
                    <w:jc w:val="center"/>
                    <w:rPr>
                      <w:snapToGrid w:val="0"/>
                      <w:color w:val="auto"/>
                      <w:sz w:val="21"/>
                      <w:szCs w:val="21"/>
                      <w:highlight w:val="yellow"/>
                    </w:rPr>
                  </w:pPr>
                  <w:r>
                    <w:rPr>
                      <w:snapToGrid w:val="0"/>
                      <w:color w:val="auto"/>
                      <w:sz w:val="21"/>
                      <w:szCs w:val="21"/>
                      <w:highlight w:val="yellow"/>
                    </w:rPr>
                    <w:t>序号</w:t>
                  </w:r>
                </w:p>
              </w:tc>
              <w:tc>
                <w:tcPr>
                  <w:tcW w:w="917" w:type="pct"/>
                  <w:vMerge w:val="restart"/>
                  <w:noWrap w:val="0"/>
                  <w:vAlign w:val="center"/>
                </w:tcPr>
                <w:p w14:paraId="4C419ECD">
                  <w:pPr>
                    <w:spacing w:line="240" w:lineRule="auto"/>
                    <w:ind w:firstLine="0" w:firstLineChars="0"/>
                    <w:jc w:val="center"/>
                    <w:rPr>
                      <w:rFonts w:hint="default" w:eastAsia="宋体"/>
                      <w:snapToGrid w:val="0"/>
                      <w:color w:val="auto"/>
                      <w:sz w:val="21"/>
                      <w:szCs w:val="21"/>
                      <w:highlight w:val="yellow"/>
                      <w:lang w:val="en-US" w:eastAsia="zh-CN"/>
                    </w:rPr>
                  </w:pPr>
                  <w:r>
                    <w:rPr>
                      <w:rFonts w:hint="eastAsia"/>
                      <w:snapToGrid w:val="0"/>
                      <w:color w:val="auto"/>
                      <w:sz w:val="21"/>
                      <w:szCs w:val="21"/>
                      <w:highlight w:val="yellow"/>
                      <w:lang w:val="en-US" w:eastAsia="zh-CN"/>
                    </w:rPr>
                    <w:t>水源地名称</w:t>
                  </w:r>
                </w:p>
              </w:tc>
              <w:tc>
                <w:tcPr>
                  <w:tcW w:w="1422" w:type="pct"/>
                  <w:vMerge w:val="restart"/>
                  <w:noWrap w:val="0"/>
                  <w:vAlign w:val="center"/>
                </w:tcPr>
                <w:p w14:paraId="229C4184">
                  <w:pPr>
                    <w:spacing w:line="240" w:lineRule="auto"/>
                    <w:ind w:firstLine="0" w:firstLineChars="0"/>
                    <w:jc w:val="center"/>
                    <w:rPr>
                      <w:rFonts w:hint="default" w:eastAsia="宋体"/>
                      <w:snapToGrid w:val="0"/>
                      <w:color w:val="auto"/>
                      <w:sz w:val="21"/>
                      <w:szCs w:val="21"/>
                      <w:highlight w:val="yellow"/>
                      <w:lang w:val="en-US" w:eastAsia="zh-CN"/>
                    </w:rPr>
                  </w:pPr>
                  <w:r>
                    <w:rPr>
                      <w:rFonts w:hint="eastAsia"/>
                      <w:snapToGrid w:val="0"/>
                      <w:color w:val="auto"/>
                      <w:sz w:val="21"/>
                      <w:szCs w:val="21"/>
                      <w:highlight w:val="yellow"/>
                      <w:lang w:val="en-US" w:eastAsia="zh-CN"/>
                    </w:rPr>
                    <w:t>水源地类型</w:t>
                  </w:r>
                </w:p>
              </w:tc>
              <w:tc>
                <w:tcPr>
                  <w:tcW w:w="1081" w:type="pct"/>
                  <w:vMerge w:val="restart"/>
                  <w:noWrap w:val="0"/>
                  <w:vAlign w:val="center"/>
                </w:tcPr>
                <w:p w14:paraId="5AEE2C3A">
                  <w:pPr>
                    <w:spacing w:line="240" w:lineRule="auto"/>
                    <w:ind w:firstLine="0" w:firstLineChars="0"/>
                    <w:jc w:val="center"/>
                    <w:rPr>
                      <w:rFonts w:hint="default" w:eastAsia="宋体"/>
                      <w:snapToGrid w:val="0"/>
                      <w:color w:val="auto"/>
                      <w:sz w:val="21"/>
                      <w:szCs w:val="21"/>
                      <w:highlight w:val="yellow"/>
                      <w:lang w:val="en-US" w:eastAsia="zh-CN"/>
                    </w:rPr>
                  </w:pPr>
                  <w:r>
                    <w:rPr>
                      <w:rFonts w:hint="eastAsia"/>
                      <w:snapToGrid w:val="0"/>
                      <w:color w:val="auto"/>
                      <w:sz w:val="21"/>
                      <w:szCs w:val="21"/>
                      <w:highlight w:val="yellow"/>
                      <w:lang w:val="en-US" w:eastAsia="zh-CN"/>
                    </w:rPr>
                    <w:t>批复情况</w:t>
                  </w:r>
                </w:p>
              </w:tc>
              <w:tc>
                <w:tcPr>
                  <w:tcW w:w="1148" w:type="pct"/>
                  <w:vMerge w:val="restart"/>
                  <w:noWrap w:val="0"/>
                  <w:vAlign w:val="center"/>
                </w:tcPr>
                <w:p w14:paraId="2795B071">
                  <w:pPr>
                    <w:spacing w:line="240" w:lineRule="auto"/>
                    <w:ind w:firstLine="0" w:firstLineChars="0"/>
                    <w:jc w:val="center"/>
                    <w:rPr>
                      <w:rFonts w:hint="default" w:eastAsia="宋体"/>
                      <w:snapToGrid w:val="0"/>
                      <w:color w:val="auto"/>
                      <w:sz w:val="21"/>
                      <w:szCs w:val="21"/>
                      <w:highlight w:val="yellow"/>
                      <w:lang w:val="en-US" w:eastAsia="zh-CN"/>
                    </w:rPr>
                  </w:pPr>
                  <w:r>
                    <w:rPr>
                      <w:rFonts w:hint="eastAsia"/>
                      <w:snapToGrid w:val="0"/>
                      <w:color w:val="auto"/>
                      <w:sz w:val="21"/>
                      <w:szCs w:val="21"/>
                      <w:highlight w:val="yellow"/>
                      <w:lang w:val="en-US" w:eastAsia="zh-CN"/>
                    </w:rPr>
                    <w:t>边界与线路方位、距离</w:t>
                  </w:r>
                </w:p>
              </w:tc>
            </w:tr>
            <w:tr w14:paraId="67B00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tblHeader/>
                <w:jc w:val="center"/>
              </w:trPr>
              <w:tc>
                <w:tcPr>
                  <w:tcW w:w="429" w:type="pct"/>
                  <w:vMerge w:val="continue"/>
                  <w:noWrap w:val="0"/>
                  <w:vAlign w:val="center"/>
                </w:tcPr>
                <w:p w14:paraId="5388809C">
                  <w:pPr>
                    <w:spacing w:line="240" w:lineRule="auto"/>
                    <w:ind w:firstLine="0" w:firstLineChars="0"/>
                    <w:jc w:val="center"/>
                    <w:rPr>
                      <w:snapToGrid w:val="0"/>
                      <w:color w:val="auto"/>
                      <w:sz w:val="21"/>
                      <w:szCs w:val="21"/>
                      <w:highlight w:val="yellow"/>
                    </w:rPr>
                  </w:pPr>
                </w:p>
              </w:tc>
              <w:tc>
                <w:tcPr>
                  <w:tcW w:w="917" w:type="pct"/>
                  <w:vMerge w:val="continue"/>
                  <w:noWrap w:val="0"/>
                  <w:vAlign w:val="center"/>
                </w:tcPr>
                <w:p w14:paraId="76A67DB3">
                  <w:pPr>
                    <w:spacing w:line="240" w:lineRule="auto"/>
                    <w:ind w:firstLine="0" w:firstLineChars="0"/>
                    <w:jc w:val="center"/>
                    <w:rPr>
                      <w:snapToGrid w:val="0"/>
                      <w:color w:val="auto"/>
                      <w:sz w:val="21"/>
                      <w:szCs w:val="21"/>
                      <w:highlight w:val="yellow"/>
                    </w:rPr>
                  </w:pPr>
                </w:p>
              </w:tc>
              <w:tc>
                <w:tcPr>
                  <w:tcW w:w="1422" w:type="pct"/>
                  <w:vMerge w:val="continue"/>
                  <w:noWrap w:val="0"/>
                  <w:vAlign w:val="center"/>
                </w:tcPr>
                <w:p w14:paraId="662C270D">
                  <w:pPr>
                    <w:spacing w:line="240" w:lineRule="auto"/>
                    <w:ind w:firstLine="0" w:firstLineChars="0"/>
                    <w:jc w:val="center"/>
                    <w:rPr>
                      <w:snapToGrid w:val="0"/>
                      <w:color w:val="auto"/>
                      <w:sz w:val="21"/>
                      <w:szCs w:val="21"/>
                      <w:highlight w:val="yellow"/>
                    </w:rPr>
                  </w:pPr>
                </w:p>
              </w:tc>
              <w:tc>
                <w:tcPr>
                  <w:tcW w:w="1081" w:type="pct"/>
                  <w:vMerge w:val="continue"/>
                  <w:noWrap w:val="0"/>
                  <w:vAlign w:val="center"/>
                </w:tcPr>
                <w:p w14:paraId="07F95DFF">
                  <w:pPr>
                    <w:spacing w:line="240" w:lineRule="auto"/>
                    <w:ind w:firstLine="0" w:firstLineChars="0"/>
                    <w:jc w:val="center"/>
                    <w:rPr>
                      <w:snapToGrid w:val="0"/>
                      <w:color w:val="auto"/>
                      <w:sz w:val="21"/>
                      <w:szCs w:val="21"/>
                      <w:highlight w:val="yellow"/>
                    </w:rPr>
                  </w:pPr>
                </w:p>
              </w:tc>
              <w:tc>
                <w:tcPr>
                  <w:tcW w:w="1148" w:type="pct"/>
                  <w:vMerge w:val="continue"/>
                  <w:noWrap w:val="0"/>
                  <w:vAlign w:val="center"/>
                </w:tcPr>
                <w:p w14:paraId="207CAFA5">
                  <w:pPr>
                    <w:spacing w:line="240" w:lineRule="auto"/>
                    <w:ind w:firstLine="0" w:firstLineChars="0"/>
                    <w:jc w:val="center"/>
                    <w:rPr>
                      <w:snapToGrid w:val="0"/>
                      <w:color w:val="auto"/>
                      <w:sz w:val="21"/>
                      <w:szCs w:val="21"/>
                      <w:highlight w:val="yellow"/>
                    </w:rPr>
                  </w:pPr>
                </w:p>
              </w:tc>
            </w:tr>
            <w:tr w14:paraId="66774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9" w:type="pct"/>
                  <w:noWrap w:val="0"/>
                  <w:vAlign w:val="center"/>
                </w:tcPr>
                <w:p w14:paraId="5BDE7DD2">
                  <w:pPr>
                    <w:spacing w:line="240" w:lineRule="auto"/>
                    <w:ind w:firstLine="0" w:firstLineChars="0"/>
                    <w:jc w:val="center"/>
                    <w:rPr>
                      <w:snapToGrid w:val="0"/>
                      <w:color w:val="auto"/>
                      <w:sz w:val="21"/>
                      <w:szCs w:val="21"/>
                      <w:highlight w:val="yellow"/>
                    </w:rPr>
                  </w:pPr>
                  <w:r>
                    <w:rPr>
                      <w:rFonts w:hint="eastAsia"/>
                      <w:snapToGrid w:val="0"/>
                      <w:color w:val="auto"/>
                      <w:sz w:val="21"/>
                      <w:szCs w:val="21"/>
                      <w:highlight w:val="yellow"/>
                    </w:rPr>
                    <w:t>1</w:t>
                  </w:r>
                </w:p>
              </w:tc>
              <w:tc>
                <w:tcPr>
                  <w:tcW w:w="917" w:type="pct"/>
                  <w:noWrap w:val="0"/>
                  <w:vAlign w:val="center"/>
                </w:tcPr>
                <w:p w14:paraId="5526440D">
                  <w:pPr>
                    <w:spacing w:line="240" w:lineRule="auto"/>
                    <w:ind w:firstLine="0" w:firstLineChars="0"/>
                    <w:jc w:val="center"/>
                    <w:rPr>
                      <w:rFonts w:hint="default" w:eastAsia="宋体"/>
                      <w:snapToGrid w:val="0"/>
                      <w:color w:val="auto"/>
                      <w:sz w:val="21"/>
                      <w:szCs w:val="21"/>
                      <w:highlight w:val="yellow"/>
                      <w:lang w:val="en-US" w:eastAsia="zh-CN"/>
                    </w:rPr>
                  </w:pPr>
                  <w:r>
                    <w:rPr>
                      <w:rFonts w:hint="eastAsia"/>
                      <w:snapToGrid w:val="0"/>
                      <w:color w:val="auto"/>
                      <w:sz w:val="21"/>
                      <w:szCs w:val="21"/>
                      <w:highlight w:val="yellow"/>
                      <w:lang w:val="en-US" w:eastAsia="zh-CN"/>
                    </w:rPr>
                    <w:t>前回春岭饮用水源地保护区</w:t>
                  </w:r>
                </w:p>
              </w:tc>
              <w:tc>
                <w:tcPr>
                  <w:tcW w:w="1422" w:type="pct"/>
                  <w:noWrap w:val="0"/>
                  <w:vAlign w:val="center"/>
                </w:tcPr>
                <w:p w14:paraId="29CFD484">
                  <w:pPr>
                    <w:spacing w:line="240" w:lineRule="auto"/>
                    <w:ind w:firstLine="0" w:firstLineChars="0"/>
                    <w:jc w:val="center"/>
                    <w:rPr>
                      <w:snapToGrid w:val="0"/>
                      <w:color w:val="auto"/>
                      <w:sz w:val="21"/>
                      <w:szCs w:val="21"/>
                      <w:highlight w:val="yellow"/>
                    </w:rPr>
                  </w:pPr>
                  <w:r>
                    <w:rPr>
                      <w:rFonts w:hint="eastAsia"/>
                      <w:snapToGrid w:val="0"/>
                      <w:color w:val="auto"/>
                      <w:sz w:val="21"/>
                      <w:szCs w:val="21"/>
                      <w:highlight w:val="yellow"/>
                      <w:lang w:val="en-US" w:eastAsia="zh-CN"/>
                    </w:rPr>
                    <w:t>农村集中式饮用水水源，承压型水源地</w:t>
                  </w:r>
                </w:p>
              </w:tc>
              <w:tc>
                <w:tcPr>
                  <w:tcW w:w="1081" w:type="pct"/>
                  <w:noWrap w:val="0"/>
                  <w:vAlign w:val="center"/>
                </w:tcPr>
                <w:p w14:paraId="3A301952">
                  <w:pPr>
                    <w:spacing w:line="240" w:lineRule="auto"/>
                    <w:ind w:firstLine="0" w:firstLineChars="0"/>
                    <w:jc w:val="center"/>
                    <w:rPr>
                      <w:snapToGrid w:val="0"/>
                      <w:color w:val="auto"/>
                      <w:sz w:val="21"/>
                      <w:szCs w:val="21"/>
                      <w:highlight w:val="yellow"/>
                    </w:rPr>
                  </w:pPr>
                  <w:r>
                    <w:rPr>
                      <w:rFonts w:hint="eastAsia"/>
                      <w:snapToGrid w:val="0"/>
                      <w:color w:val="auto"/>
                      <w:sz w:val="21"/>
                      <w:szCs w:val="21"/>
                      <w:highlight w:val="yellow"/>
                      <w:lang w:val="en-US" w:eastAsia="zh-CN"/>
                    </w:rPr>
                    <w:t>黑政函[2017]118号</w:t>
                  </w:r>
                </w:p>
              </w:tc>
              <w:tc>
                <w:tcPr>
                  <w:tcW w:w="1148" w:type="pct"/>
                  <w:noWrap w:val="0"/>
                  <w:vAlign w:val="center"/>
                </w:tcPr>
                <w:p w14:paraId="289610CE">
                  <w:pPr>
                    <w:spacing w:line="240" w:lineRule="auto"/>
                    <w:ind w:firstLine="0" w:firstLineChars="0"/>
                    <w:jc w:val="center"/>
                    <w:rPr>
                      <w:rFonts w:hint="default" w:eastAsia="宋体"/>
                      <w:snapToGrid w:val="0"/>
                      <w:color w:val="auto"/>
                      <w:sz w:val="21"/>
                      <w:szCs w:val="21"/>
                      <w:highlight w:val="yellow"/>
                      <w:lang w:val="en-US" w:eastAsia="zh-CN"/>
                    </w:rPr>
                  </w:pPr>
                  <w:r>
                    <w:rPr>
                      <w:rFonts w:hint="eastAsia"/>
                      <w:snapToGrid w:val="0"/>
                      <w:color w:val="auto"/>
                      <w:sz w:val="21"/>
                      <w:szCs w:val="21"/>
                      <w:highlight w:val="yellow"/>
                      <w:lang w:val="en-US" w:eastAsia="zh-CN"/>
                    </w:rPr>
                    <w:t>线路边界位于</w:t>
                  </w:r>
                  <w:r>
                    <w:rPr>
                      <w:rFonts w:hint="eastAsia"/>
                      <w:snapToGrid w:val="0"/>
                      <w:color w:val="auto"/>
                      <w:sz w:val="21"/>
                      <w:szCs w:val="21"/>
                      <w:highlight w:val="yellow"/>
                    </w:rPr>
                    <w:t>饮用水一级保护区</w:t>
                  </w:r>
                  <w:r>
                    <w:rPr>
                      <w:rFonts w:hint="eastAsia"/>
                      <w:snapToGrid w:val="0"/>
                      <w:color w:val="auto"/>
                      <w:sz w:val="21"/>
                      <w:szCs w:val="21"/>
                      <w:highlight w:val="yellow"/>
                      <w:lang w:val="en-US" w:eastAsia="zh-CN"/>
                    </w:rPr>
                    <w:t>南侧350m处</w:t>
                  </w:r>
                </w:p>
              </w:tc>
            </w:tr>
            <w:tr w14:paraId="32CC8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9" w:type="pct"/>
                  <w:noWrap w:val="0"/>
                  <w:vAlign w:val="center"/>
                </w:tcPr>
                <w:p w14:paraId="43999DA2">
                  <w:pPr>
                    <w:spacing w:line="240" w:lineRule="auto"/>
                    <w:ind w:firstLine="0" w:firstLineChars="0"/>
                    <w:jc w:val="center"/>
                    <w:rPr>
                      <w:rFonts w:hint="eastAsia" w:eastAsia="宋体"/>
                      <w:color w:val="auto"/>
                      <w:sz w:val="21"/>
                      <w:szCs w:val="21"/>
                      <w:highlight w:val="yellow"/>
                      <w:lang w:eastAsia="zh-CN"/>
                    </w:rPr>
                  </w:pPr>
                  <w:r>
                    <w:rPr>
                      <w:rFonts w:hint="eastAsia"/>
                      <w:color w:val="auto"/>
                      <w:sz w:val="21"/>
                      <w:szCs w:val="21"/>
                      <w:highlight w:val="yellow"/>
                      <w:lang w:val="en-US" w:eastAsia="zh-CN"/>
                    </w:rPr>
                    <w:t>2</w:t>
                  </w:r>
                </w:p>
              </w:tc>
              <w:tc>
                <w:tcPr>
                  <w:tcW w:w="917" w:type="pct"/>
                  <w:noWrap w:val="0"/>
                  <w:vAlign w:val="center"/>
                </w:tcPr>
                <w:p w14:paraId="3826760E">
                  <w:pPr>
                    <w:spacing w:line="240" w:lineRule="auto"/>
                    <w:ind w:firstLine="0" w:firstLineChars="0"/>
                    <w:jc w:val="center"/>
                    <w:rPr>
                      <w:rFonts w:hint="eastAsia" w:eastAsia="宋体"/>
                      <w:color w:val="auto"/>
                      <w:sz w:val="21"/>
                      <w:szCs w:val="21"/>
                      <w:highlight w:val="yellow"/>
                      <w:lang w:eastAsia="zh-CN"/>
                    </w:rPr>
                  </w:pPr>
                  <w:r>
                    <w:rPr>
                      <w:rFonts w:hint="eastAsia"/>
                      <w:snapToGrid w:val="0"/>
                      <w:color w:val="auto"/>
                      <w:sz w:val="21"/>
                      <w:szCs w:val="21"/>
                      <w:highlight w:val="yellow"/>
                      <w:lang w:val="en-US" w:eastAsia="zh-CN"/>
                    </w:rPr>
                    <w:t>樊家窝棚饮用水源地保护区</w:t>
                  </w:r>
                </w:p>
              </w:tc>
              <w:tc>
                <w:tcPr>
                  <w:tcW w:w="1422" w:type="pct"/>
                  <w:noWrap w:val="0"/>
                  <w:vAlign w:val="center"/>
                </w:tcPr>
                <w:p w14:paraId="099352D6">
                  <w:pPr>
                    <w:spacing w:line="240" w:lineRule="auto"/>
                    <w:ind w:firstLine="0" w:firstLineChars="0"/>
                    <w:jc w:val="center"/>
                    <w:rPr>
                      <w:rFonts w:hint="eastAsia"/>
                      <w:snapToGrid w:val="0"/>
                      <w:color w:val="auto"/>
                      <w:sz w:val="21"/>
                      <w:szCs w:val="21"/>
                      <w:highlight w:val="yellow"/>
                    </w:rPr>
                  </w:pPr>
                  <w:r>
                    <w:rPr>
                      <w:rFonts w:hint="eastAsia"/>
                      <w:snapToGrid w:val="0"/>
                      <w:color w:val="auto"/>
                      <w:sz w:val="21"/>
                      <w:szCs w:val="21"/>
                      <w:highlight w:val="yellow"/>
                      <w:lang w:val="en-US" w:eastAsia="zh-CN"/>
                    </w:rPr>
                    <w:t>农村集中式饮用水水源，承压型水源地</w:t>
                  </w:r>
                </w:p>
              </w:tc>
              <w:tc>
                <w:tcPr>
                  <w:tcW w:w="1081" w:type="pct"/>
                  <w:noWrap w:val="0"/>
                  <w:vAlign w:val="center"/>
                </w:tcPr>
                <w:p w14:paraId="0A3421C6">
                  <w:pPr>
                    <w:spacing w:line="240" w:lineRule="auto"/>
                    <w:ind w:firstLine="0" w:firstLineChars="0"/>
                    <w:jc w:val="center"/>
                    <w:rPr>
                      <w:rFonts w:hint="default" w:eastAsia="宋体"/>
                      <w:snapToGrid w:val="0"/>
                      <w:color w:val="auto"/>
                      <w:sz w:val="21"/>
                      <w:szCs w:val="21"/>
                      <w:highlight w:val="yellow"/>
                      <w:lang w:val="en-US" w:eastAsia="zh-CN"/>
                    </w:rPr>
                  </w:pPr>
                  <w:r>
                    <w:rPr>
                      <w:rFonts w:hint="eastAsia"/>
                      <w:snapToGrid w:val="0"/>
                      <w:color w:val="auto"/>
                      <w:sz w:val="21"/>
                      <w:szCs w:val="21"/>
                      <w:highlight w:val="yellow"/>
                      <w:lang w:val="en-US" w:eastAsia="zh-CN"/>
                    </w:rPr>
                    <w:t>黑政函[2018]21号</w:t>
                  </w:r>
                </w:p>
              </w:tc>
              <w:tc>
                <w:tcPr>
                  <w:tcW w:w="1148" w:type="pct"/>
                  <w:noWrap w:val="0"/>
                  <w:vAlign w:val="center"/>
                </w:tcPr>
                <w:p w14:paraId="435B00A4">
                  <w:pPr>
                    <w:spacing w:line="240" w:lineRule="auto"/>
                    <w:ind w:firstLine="0" w:firstLineChars="0"/>
                    <w:jc w:val="center"/>
                    <w:rPr>
                      <w:rFonts w:hint="eastAsia"/>
                      <w:snapToGrid w:val="0"/>
                      <w:color w:val="auto"/>
                      <w:sz w:val="21"/>
                      <w:szCs w:val="21"/>
                      <w:highlight w:val="yellow"/>
                    </w:rPr>
                  </w:pPr>
                  <w:r>
                    <w:rPr>
                      <w:rFonts w:hint="eastAsia"/>
                      <w:snapToGrid w:val="0"/>
                      <w:color w:val="auto"/>
                      <w:sz w:val="21"/>
                      <w:szCs w:val="21"/>
                      <w:highlight w:val="yellow"/>
                      <w:lang w:val="en-US" w:eastAsia="zh-CN"/>
                    </w:rPr>
                    <w:t>线路边界位于</w:t>
                  </w:r>
                  <w:r>
                    <w:rPr>
                      <w:rFonts w:hint="eastAsia"/>
                      <w:snapToGrid w:val="0"/>
                      <w:color w:val="auto"/>
                      <w:sz w:val="21"/>
                      <w:szCs w:val="21"/>
                      <w:highlight w:val="yellow"/>
                    </w:rPr>
                    <w:t>饮用水一级保护区</w:t>
                  </w:r>
                  <w:r>
                    <w:rPr>
                      <w:rFonts w:hint="eastAsia"/>
                      <w:snapToGrid w:val="0"/>
                      <w:color w:val="auto"/>
                      <w:sz w:val="21"/>
                      <w:szCs w:val="21"/>
                      <w:highlight w:val="yellow"/>
                      <w:lang w:val="en-US" w:eastAsia="zh-CN"/>
                    </w:rPr>
                    <w:t>东侧40m处</w:t>
                  </w:r>
                </w:p>
              </w:tc>
            </w:tr>
            <w:tr w14:paraId="7C680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9" w:type="pct"/>
                  <w:noWrap w:val="0"/>
                  <w:vAlign w:val="center"/>
                </w:tcPr>
                <w:p w14:paraId="020A4C08">
                  <w:pPr>
                    <w:spacing w:line="240" w:lineRule="auto"/>
                    <w:ind w:firstLine="0" w:firstLineChars="0"/>
                    <w:jc w:val="center"/>
                    <w:rPr>
                      <w:rFonts w:hint="eastAsia" w:eastAsia="宋体"/>
                      <w:color w:val="auto"/>
                      <w:sz w:val="21"/>
                      <w:szCs w:val="21"/>
                      <w:highlight w:val="yellow"/>
                      <w:lang w:eastAsia="zh-CN"/>
                    </w:rPr>
                  </w:pPr>
                  <w:r>
                    <w:rPr>
                      <w:rFonts w:hint="eastAsia"/>
                      <w:color w:val="auto"/>
                      <w:sz w:val="21"/>
                      <w:szCs w:val="21"/>
                      <w:highlight w:val="yellow"/>
                      <w:lang w:val="en-US" w:eastAsia="zh-CN"/>
                    </w:rPr>
                    <w:t>3</w:t>
                  </w:r>
                </w:p>
              </w:tc>
              <w:tc>
                <w:tcPr>
                  <w:tcW w:w="917" w:type="pct"/>
                  <w:noWrap w:val="0"/>
                  <w:vAlign w:val="center"/>
                </w:tcPr>
                <w:p w14:paraId="2647F30F">
                  <w:pPr>
                    <w:spacing w:line="240" w:lineRule="auto"/>
                    <w:ind w:firstLine="0" w:firstLineChars="0"/>
                    <w:jc w:val="center"/>
                    <w:rPr>
                      <w:rFonts w:hint="eastAsia" w:eastAsia="宋体"/>
                      <w:color w:val="auto"/>
                      <w:sz w:val="21"/>
                      <w:szCs w:val="21"/>
                      <w:highlight w:val="yellow"/>
                      <w:lang w:eastAsia="zh-CN"/>
                    </w:rPr>
                  </w:pPr>
                  <w:r>
                    <w:rPr>
                      <w:rFonts w:hint="eastAsia"/>
                      <w:snapToGrid w:val="0"/>
                      <w:color w:val="auto"/>
                      <w:sz w:val="21"/>
                      <w:szCs w:val="21"/>
                      <w:highlight w:val="yellow"/>
                      <w:lang w:val="en-US" w:eastAsia="zh-CN"/>
                    </w:rPr>
                    <w:t>长江村饮用水源地</w:t>
                  </w:r>
                </w:p>
              </w:tc>
              <w:tc>
                <w:tcPr>
                  <w:tcW w:w="1422" w:type="pct"/>
                  <w:noWrap w:val="0"/>
                  <w:vAlign w:val="center"/>
                </w:tcPr>
                <w:p w14:paraId="7A38BC28">
                  <w:pPr>
                    <w:spacing w:line="240" w:lineRule="auto"/>
                    <w:ind w:firstLine="0" w:firstLineChars="0"/>
                    <w:jc w:val="center"/>
                    <w:rPr>
                      <w:rFonts w:hint="default" w:eastAsia="宋体"/>
                      <w:snapToGrid w:val="0"/>
                      <w:color w:val="auto"/>
                      <w:sz w:val="21"/>
                      <w:szCs w:val="21"/>
                      <w:highlight w:val="yellow"/>
                      <w:lang w:val="en-US" w:eastAsia="zh-CN"/>
                    </w:rPr>
                  </w:pPr>
                  <w:r>
                    <w:rPr>
                      <w:rFonts w:hint="eastAsia"/>
                      <w:snapToGrid w:val="0"/>
                      <w:color w:val="auto"/>
                      <w:sz w:val="21"/>
                      <w:szCs w:val="21"/>
                      <w:highlight w:val="yellow"/>
                      <w:lang w:val="en-US" w:eastAsia="zh-CN"/>
                    </w:rPr>
                    <w:t>农村集中式饮用水水源，承压型水源地</w:t>
                  </w:r>
                </w:p>
              </w:tc>
              <w:tc>
                <w:tcPr>
                  <w:tcW w:w="1081" w:type="pct"/>
                  <w:noWrap w:val="0"/>
                  <w:vAlign w:val="center"/>
                </w:tcPr>
                <w:p w14:paraId="354043F7">
                  <w:pPr>
                    <w:spacing w:line="240" w:lineRule="auto"/>
                    <w:ind w:firstLine="0" w:firstLineChars="0"/>
                    <w:jc w:val="center"/>
                    <w:rPr>
                      <w:rFonts w:hint="default" w:eastAsia="宋体"/>
                      <w:snapToGrid w:val="0"/>
                      <w:color w:val="auto"/>
                      <w:sz w:val="21"/>
                      <w:szCs w:val="21"/>
                      <w:highlight w:val="yellow"/>
                      <w:lang w:val="en-US" w:eastAsia="zh-CN"/>
                    </w:rPr>
                  </w:pPr>
                  <w:r>
                    <w:rPr>
                      <w:rFonts w:hint="eastAsia"/>
                      <w:snapToGrid w:val="0"/>
                      <w:color w:val="auto"/>
                      <w:sz w:val="21"/>
                      <w:szCs w:val="21"/>
                      <w:highlight w:val="yellow"/>
                      <w:lang w:val="en-US" w:eastAsia="zh-CN"/>
                    </w:rPr>
                    <w:t>黑政函[2021]51号</w:t>
                  </w:r>
                </w:p>
              </w:tc>
              <w:tc>
                <w:tcPr>
                  <w:tcW w:w="1148" w:type="pct"/>
                  <w:noWrap w:val="0"/>
                  <w:vAlign w:val="center"/>
                </w:tcPr>
                <w:p w14:paraId="11C7F269">
                  <w:pPr>
                    <w:spacing w:line="240" w:lineRule="auto"/>
                    <w:ind w:firstLine="0" w:firstLineChars="0"/>
                    <w:jc w:val="center"/>
                    <w:rPr>
                      <w:rFonts w:hint="eastAsia"/>
                      <w:snapToGrid w:val="0"/>
                      <w:color w:val="auto"/>
                      <w:sz w:val="21"/>
                      <w:szCs w:val="21"/>
                      <w:highlight w:val="yellow"/>
                    </w:rPr>
                  </w:pPr>
                  <w:r>
                    <w:rPr>
                      <w:rFonts w:hint="eastAsia"/>
                      <w:snapToGrid w:val="0"/>
                      <w:color w:val="auto"/>
                      <w:sz w:val="21"/>
                      <w:szCs w:val="21"/>
                      <w:highlight w:val="yellow"/>
                      <w:lang w:val="en-US" w:eastAsia="zh-CN"/>
                    </w:rPr>
                    <w:t>线路边界位于</w:t>
                  </w:r>
                  <w:r>
                    <w:rPr>
                      <w:rFonts w:hint="eastAsia"/>
                      <w:snapToGrid w:val="0"/>
                      <w:color w:val="auto"/>
                      <w:sz w:val="21"/>
                      <w:szCs w:val="21"/>
                      <w:highlight w:val="yellow"/>
                    </w:rPr>
                    <w:t>饮用水一级保护区</w:t>
                  </w:r>
                  <w:r>
                    <w:rPr>
                      <w:rFonts w:hint="eastAsia"/>
                      <w:snapToGrid w:val="0"/>
                      <w:color w:val="auto"/>
                      <w:sz w:val="21"/>
                      <w:szCs w:val="21"/>
                      <w:highlight w:val="yellow"/>
                      <w:lang w:val="en-US" w:eastAsia="zh-CN"/>
                    </w:rPr>
                    <w:t>东侧560m处</w:t>
                  </w:r>
                </w:p>
              </w:tc>
            </w:tr>
          </w:tbl>
          <w:p w14:paraId="6C039F31">
            <w:pPr>
              <w:rPr>
                <w:rFonts w:hint="default"/>
                <w:lang w:val="en-US" w:eastAsia="zh-CN"/>
              </w:rPr>
            </w:pPr>
          </w:p>
        </w:tc>
      </w:tr>
      <w:tr w14:paraId="13260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83" w:hRule="atLeast"/>
          <w:jc w:val="center"/>
        </w:trPr>
        <w:tc>
          <w:tcPr>
            <w:tcW w:w="450" w:type="pct"/>
            <w:vAlign w:val="center"/>
          </w:tcPr>
          <w:p w14:paraId="7F5D77F1">
            <w:pPr>
              <w:ind w:firstLine="0" w:firstLineChars="0"/>
              <w:jc w:val="center"/>
              <w:rPr>
                <w:color w:val="auto"/>
                <w:highlight w:val="none"/>
              </w:rPr>
            </w:pPr>
            <w:r>
              <w:rPr>
                <w:rFonts w:hint="eastAsia"/>
                <w:color w:val="auto"/>
                <w:highlight w:val="none"/>
              </w:rPr>
              <w:t>评价标准</w:t>
            </w:r>
          </w:p>
        </w:tc>
        <w:tc>
          <w:tcPr>
            <w:tcW w:w="4550" w:type="pct"/>
            <w:vAlign w:val="center"/>
          </w:tcPr>
          <w:p w14:paraId="0A3412A7">
            <w:pPr>
              <w:adjustRightInd w:val="0"/>
              <w:snapToGrid w:val="0"/>
              <w:spacing w:line="480" w:lineRule="exact"/>
              <w:ind w:firstLine="482"/>
              <w:rPr>
                <w:b/>
                <w:color w:val="auto"/>
                <w:kern w:val="0"/>
                <w:highlight w:val="none"/>
              </w:rPr>
            </w:pPr>
            <w:r>
              <w:rPr>
                <w:rFonts w:hint="eastAsia"/>
                <w:b/>
                <w:color w:val="auto"/>
                <w:kern w:val="0"/>
                <w:highlight w:val="none"/>
              </w:rPr>
              <w:t>1、</w:t>
            </w:r>
            <w:r>
              <w:rPr>
                <w:b/>
                <w:color w:val="auto"/>
                <w:kern w:val="0"/>
                <w:highlight w:val="none"/>
              </w:rPr>
              <w:t>环境质量标准</w:t>
            </w:r>
          </w:p>
          <w:p w14:paraId="0774BD33">
            <w:pPr>
              <w:adjustRightInd w:val="0"/>
              <w:snapToGrid w:val="0"/>
              <w:spacing w:line="480" w:lineRule="exact"/>
              <w:ind w:firstLine="480"/>
              <w:rPr>
                <w:color w:val="auto"/>
                <w:kern w:val="0"/>
                <w:highlight w:val="none"/>
              </w:rPr>
            </w:pPr>
            <w:r>
              <w:rPr>
                <w:rFonts w:hint="eastAsia"/>
                <w:color w:val="auto"/>
                <w:kern w:val="0"/>
                <w:highlight w:val="none"/>
              </w:rPr>
              <w:t>（1）</w:t>
            </w:r>
            <w:r>
              <w:rPr>
                <w:color w:val="auto"/>
                <w:kern w:val="0"/>
                <w:highlight w:val="none"/>
              </w:rPr>
              <w:t>环境空气</w:t>
            </w:r>
          </w:p>
          <w:p w14:paraId="490B2159">
            <w:pPr>
              <w:adjustRightInd w:val="0"/>
              <w:snapToGrid w:val="0"/>
              <w:spacing w:line="480" w:lineRule="exact"/>
              <w:ind w:firstLine="480"/>
              <w:rPr>
                <w:color w:val="auto"/>
                <w:kern w:val="0"/>
                <w:highlight w:val="none"/>
              </w:rPr>
            </w:pPr>
            <w:r>
              <w:rPr>
                <w:rFonts w:hint="eastAsia"/>
                <w:color w:val="auto"/>
                <w:kern w:val="0"/>
                <w:highlight w:val="none"/>
              </w:rPr>
              <w:t>本项目所在区域环境空气</w:t>
            </w:r>
            <w:r>
              <w:rPr>
                <w:color w:val="auto"/>
                <w:kern w:val="0"/>
                <w:highlight w:val="none"/>
              </w:rPr>
              <w:t>执行《环境空气质量标准》（GB</w:t>
            </w:r>
            <w:r>
              <w:rPr>
                <w:rFonts w:hint="eastAsia"/>
                <w:color w:val="auto"/>
                <w:kern w:val="0"/>
                <w:highlight w:val="none"/>
              </w:rPr>
              <w:t xml:space="preserve"> </w:t>
            </w:r>
            <w:r>
              <w:rPr>
                <w:color w:val="auto"/>
                <w:kern w:val="0"/>
                <w:highlight w:val="none"/>
              </w:rPr>
              <w:t>3095-2012）及其修改单二级标准</w:t>
            </w:r>
            <w:r>
              <w:rPr>
                <w:rFonts w:hint="eastAsia"/>
                <w:color w:val="auto"/>
                <w:kern w:val="0"/>
                <w:highlight w:val="none"/>
              </w:rPr>
              <w:t>。</w:t>
            </w:r>
          </w:p>
          <w:p w14:paraId="6B92888E">
            <w:pPr>
              <w:adjustRightInd w:val="0"/>
              <w:snapToGrid w:val="0"/>
              <w:spacing w:line="480" w:lineRule="exact"/>
              <w:ind w:firstLine="0" w:firstLineChars="0"/>
              <w:jc w:val="center"/>
              <w:rPr>
                <w:b/>
                <w:color w:val="auto"/>
                <w:kern w:val="0"/>
                <w:highlight w:val="none"/>
              </w:rPr>
            </w:pPr>
            <w:r>
              <w:rPr>
                <w:b/>
                <w:color w:val="auto"/>
                <w:kern w:val="0"/>
                <w:highlight w:val="none"/>
              </w:rPr>
              <w:t>表3-</w:t>
            </w:r>
            <w:r>
              <w:rPr>
                <w:rFonts w:hint="eastAsia"/>
                <w:b/>
                <w:color w:val="auto"/>
                <w:kern w:val="0"/>
                <w:highlight w:val="none"/>
                <w:lang w:val="en-US" w:eastAsia="zh-CN"/>
              </w:rPr>
              <w:t>5</w:t>
            </w:r>
            <w:r>
              <w:rPr>
                <w:b/>
                <w:color w:val="auto"/>
                <w:kern w:val="0"/>
                <w:highlight w:val="none"/>
              </w:rPr>
              <w:t>环境空气质量标准</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67"/>
              <w:gridCol w:w="2408"/>
              <w:gridCol w:w="1289"/>
              <w:gridCol w:w="870"/>
              <w:gridCol w:w="1620"/>
            </w:tblGrid>
            <w:tr w14:paraId="0283F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Align w:val="center"/>
                </w:tcPr>
                <w:p w14:paraId="25A1A00B">
                  <w:pPr>
                    <w:pStyle w:val="28"/>
                    <w:rPr>
                      <w:rFonts w:hint="default"/>
                      <w:color w:val="auto"/>
                      <w:highlight w:val="none"/>
                    </w:rPr>
                  </w:pPr>
                  <w:r>
                    <w:rPr>
                      <w:rFonts w:hint="default"/>
                      <w:color w:val="auto"/>
                      <w:highlight w:val="none"/>
                    </w:rPr>
                    <w:t>污染物项目</w:t>
                  </w:r>
                </w:p>
              </w:tc>
              <w:tc>
                <w:tcPr>
                  <w:tcW w:w="1594" w:type="pct"/>
                  <w:vAlign w:val="center"/>
                </w:tcPr>
                <w:p w14:paraId="6A46ABD8">
                  <w:pPr>
                    <w:pStyle w:val="28"/>
                    <w:rPr>
                      <w:rFonts w:hint="default"/>
                      <w:color w:val="auto"/>
                      <w:highlight w:val="none"/>
                    </w:rPr>
                  </w:pPr>
                  <w:r>
                    <w:rPr>
                      <w:rFonts w:hint="default"/>
                      <w:color w:val="auto"/>
                      <w:highlight w:val="none"/>
                    </w:rPr>
                    <w:t>平均时间</w:t>
                  </w:r>
                </w:p>
              </w:tc>
              <w:tc>
                <w:tcPr>
                  <w:tcW w:w="853" w:type="pct"/>
                  <w:vAlign w:val="center"/>
                </w:tcPr>
                <w:p w14:paraId="10BDFE5E">
                  <w:pPr>
                    <w:pStyle w:val="28"/>
                    <w:rPr>
                      <w:rFonts w:hint="default"/>
                      <w:color w:val="auto"/>
                      <w:highlight w:val="none"/>
                    </w:rPr>
                  </w:pPr>
                  <w:r>
                    <w:rPr>
                      <w:rFonts w:hint="default"/>
                      <w:color w:val="auto"/>
                      <w:highlight w:val="none"/>
                    </w:rPr>
                    <w:t>浓度限值</w:t>
                  </w:r>
                </w:p>
              </w:tc>
              <w:tc>
                <w:tcPr>
                  <w:tcW w:w="576" w:type="pct"/>
                  <w:vAlign w:val="center"/>
                </w:tcPr>
                <w:p w14:paraId="59AC3474">
                  <w:pPr>
                    <w:pStyle w:val="28"/>
                    <w:rPr>
                      <w:rFonts w:hint="default"/>
                      <w:color w:val="auto"/>
                      <w:highlight w:val="none"/>
                    </w:rPr>
                  </w:pPr>
                  <w:r>
                    <w:rPr>
                      <w:rFonts w:hint="default"/>
                      <w:color w:val="auto"/>
                      <w:highlight w:val="none"/>
                    </w:rPr>
                    <w:t>单位</w:t>
                  </w:r>
                </w:p>
              </w:tc>
              <w:tc>
                <w:tcPr>
                  <w:tcW w:w="1073" w:type="pct"/>
                  <w:vAlign w:val="center"/>
                </w:tcPr>
                <w:p w14:paraId="198D2731">
                  <w:pPr>
                    <w:pStyle w:val="28"/>
                    <w:rPr>
                      <w:rFonts w:hint="default"/>
                      <w:color w:val="auto"/>
                      <w:highlight w:val="none"/>
                    </w:rPr>
                  </w:pPr>
                  <w:r>
                    <w:rPr>
                      <w:rFonts w:hint="default"/>
                      <w:color w:val="auto"/>
                      <w:highlight w:val="none"/>
                    </w:rPr>
                    <w:t>执行标准</w:t>
                  </w:r>
                </w:p>
              </w:tc>
            </w:tr>
            <w:tr w14:paraId="40E55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restart"/>
                  <w:vAlign w:val="center"/>
                </w:tcPr>
                <w:p w14:paraId="574FBE94">
                  <w:pPr>
                    <w:pStyle w:val="28"/>
                    <w:rPr>
                      <w:rFonts w:hint="default"/>
                      <w:color w:val="auto"/>
                      <w:highlight w:val="none"/>
                    </w:rPr>
                  </w:pPr>
                  <w:r>
                    <w:rPr>
                      <w:rFonts w:hint="default"/>
                      <w:color w:val="auto"/>
                      <w:highlight w:val="none"/>
                    </w:rPr>
                    <w:t>SO</w:t>
                  </w:r>
                  <w:r>
                    <w:rPr>
                      <w:rFonts w:hint="default"/>
                      <w:color w:val="auto"/>
                      <w:highlight w:val="none"/>
                      <w:vertAlign w:val="subscript"/>
                    </w:rPr>
                    <w:t>2</w:t>
                  </w:r>
                </w:p>
              </w:tc>
              <w:tc>
                <w:tcPr>
                  <w:tcW w:w="1594" w:type="pct"/>
                  <w:vAlign w:val="center"/>
                </w:tcPr>
                <w:p w14:paraId="450D4778">
                  <w:pPr>
                    <w:pStyle w:val="28"/>
                    <w:rPr>
                      <w:rFonts w:hint="default"/>
                      <w:color w:val="auto"/>
                      <w:highlight w:val="none"/>
                    </w:rPr>
                  </w:pPr>
                  <w:r>
                    <w:rPr>
                      <w:rFonts w:hint="default"/>
                      <w:color w:val="auto"/>
                      <w:highlight w:val="none"/>
                    </w:rPr>
                    <w:t>年平均</w:t>
                  </w:r>
                </w:p>
              </w:tc>
              <w:tc>
                <w:tcPr>
                  <w:tcW w:w="853" w:type="pct"/>
                  <w:vAlign w:val="center"/>
                </w:tcPr>
                <w:p w14:paraId="7E126548">
                  <w:pPr>
                    <w:pStyle w:val="28"/>
                    <w:rPr>
                      <w:rFonts w:hint="default"/>
                      <w:color w:val="auto"/>
                      <w:highlight w:val="none"/>
                    </w:rPr>
                  </w:pPr>
                  <w:r>
                    <w:rPr>
                      <w:rFonts w:hint="default"/>
                      <w:color w:val="auto"/>
                      <w:highlight w:val="none"/>
                    </w:rPr>
                    <w:t>60</w:t>
                  </w:r>
                </w:p>
              </w:tc>
              <w:tc>
                <w:tcPr>
                  <w:tcW w:w="576" w:type="pct"/>
                  <w:vMerge w:val="restart"/>
                  <w:vAlign w:val="center"/>
                </w:tcPr>
                <w:p w14:paraId="6EEC4BBD">
                  <w:pPr>
                    <w:pStyle w:val="28"/>
                    <w:rPr>
                      <w:rFonts w:hint="default"/>
                      <w:color w:val="auto"/>
                      <w:highlight w:val="none"/>
                    </w:rPr>
                  </w:pPr>
                  <w:r>
                    <w:rPr>
                      <w:rFonts w:hint="default"/>
                      <w:color w:val="auto"/>
                      <w:highlight w:val="none"/>
                    </w:rPr>
                    <w:t>μg/m</w:t>
                  </w:r>
                  <w:r>
                    <w:rPr>
                      <w:rFonts w:hint="default"/>
                      <w:color w:val="auto"/>
                      <w:highlight w:val="none"/>
                      <w:vertAlign w:val="superscript"/>
                    </w:rPr>
                    <w:t>3</w:t>
                  </w:r>
                </w:p>
              </w:tc>
              <w:tc>
                <w:tcPr>
                  <w:tcW w:w="1073" w:type="pct"/>
                  <w:vMerge w:val="restart"/>
                  <w:vAlign w:val="center"/>
                </w:tcPr>
                <w:p w14:paraId="0967E076">
                  <w:pPr>
                    <w:pStyle w:val="28"/>
                    <w:spacing w:line="288" w:lineRule="auto"/>
                    <w:rPr>
                      <w:rFonts w:hint="default"/>
                      <w:color w:val="auto"/>
                      <w:highlight w:val="none"/>
                    </w:rPr>
                  </w:pPr>
                  <w:r>
                    <w:rPr>
                      <w:rFonts w:hint="default"/>
                      <w:color w:val="auto"/>
                      <w:highlight w:val="none"/>
                    </w:rPr>
                    <w:t>《环境空气质量标准》（GB 3095-2012）及其修改单二级标准</w:t>
                  </w:r>
                </w:p>
              </w:tc>
            </w:tr>
            <w:tr w14:paraId="7B248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continue"/>
                  <w:vAlign w:val="center"/>
                </w:tcPr>
                <w:p w14:paraId="72497FDA">
                  <w:pPr>
                    <w:pStyle w:val="28"/>
                    <w:rPr>
                      <w:rFonts w:hint="default"/>
                      <w:color w:val="auto"/>
                      <w:highlight w:val="none"/>
                    </w:rPr>
                  </w:pPr>
                </w:p>
              </w:tc>
              <w:tc>
                <w:tcPr>
                  <w:tcW w:w="1594" w:type="pct"/>
                  <w:vAlign w:val="center"/>
                </w:tcPr>
                <w:p w14:paraId="614F6278">
                  <w:pPr>
                    <w:pStyle w:val="28"/>
                    <w:rPr>
                      <w:rFonts w:hint="default"/>
                      <w:color w:val="auto"/>
                      <w:highlight w:val="none"/>
                    </w:rPr>
                  </w:pPr>
                  <w:r>
                    <w:rPr>
                      <w:rFonts w:hint="default"/>
                      <w:color w:val="auto"/>
                      <w:highlight w:val="none"/>
                    </w:rPr>
                    <w:t>24小时平均</w:t>
                  </w:r>
                </w:p>
              </w:tc>
              <w:tc>
                <w:tcPr>
                  <w:tcW w:w="853" w:type="pct"/>
                  <w:vAlign w:val="center"/>
                </w:tcPr>
                <w:p w14:paraId="70E8567F">
                  <w:pPr>
                    <w:pStyle w:val="28"/>
                    <w:rPr>
                      <w:rFonts w:hint="default"/>
                      <w:color w:val="auto"/>
                      <w:highlight w:val="none"/>
                    </w:rPr>
                  </w:pPr>
                  <w:r>
                    <w:rPr>
                      <w:rFonts w:hint="default"/>
                      <w:color w:val="auto"/>
                      <w:highlight w:val="none"/>
                    </w:rPr>
                    <w:t>150</w:t>
                  </w:r>
                </w:p>
              </w:tc>
              <w:tc>
                <w:tcPr>
                  <w:tcW w:w="576" w:type="pct"/>
                  <w:vMerge w:val="continue"/>
                  <w:vAlign w:val="center"/>
                </w:tcPr>
                <w:p w14:paraId="236A6B81">
                  <w:pPr>
                    <w:pStyle w:val="28"/>
                    <w:rPr>
                      <w:rFonts w:hint="default"/>
                      <w:color w:val="auto"/>
                      <w:highlight w:val="none"/>
                    </w:rPr>
                  </w:pPr>
                </w:p>
              </w:tc>
              <w:tc>
                <w:tcPr>
                  <w:tcW w:w="1073" w:type="pct"/>
                  <w:vMerge w:val="continue"/>
                  <w:vAlign w:val="center"/>
                </w:tcPr>
                <w:p w14:paraId="1DEEBA83">
                  <w:pPr>
                    <w:pStyle w:val="28"/>
                    <w:rPr>
                      <w:rFonts w:hint="default"/>
                      <w:color w:val="auto"/>
                      <w:highlight w:val="none"/>
                    </w:rPr>
                  </w:pPr>
                </w:p>
              </w:tc>
            </w:tr>
            <w:tr w14:paraId="5CE78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continue"/>
                  <w:vAlign w:val="center"/>
                </w:tcPr>
                <w:p w14:paraId="52ED5B2C">
                  <w:pPr>
                    <w:pStyle w:val="28"/>
                    <w:rPr>
                      <w:rFonts w:hint="default"/>
                      <w:color w:val="auto"/>
                      <w:highlight w:val="none"/>
                    </w:rPr>
                  </w:pPr>
                </w:p>
              </w:tc>
              <w:tc>
                <w:tcPr>
                  <w:tcW w:w="1594" w:type="pct"/>
                  <w:vAlign w:val="center"/>
                </w:tcPr>
                <w:p w14:paraId="0DF27059">
                  <w:pPr>
                    <w:pStyle w:val="28"/>
                    <w:rPr>
                      <w:rFonts w:hint="default"/>
                      <w:color w:val="auto"/>
                      <w:highlight w:val="none"/>
                    </w:rPr>
                  </w:pPr>
                  <w:r>
                    <w:rPr>
                      <w:rFonts w:hint="default"/>
                      <w:color w:val="auto"/>
                      <w:highlight w:val="none"/>
                    </w:rPr>
                    <w:t>1小时平均</w:t>
                  </w:r>
                </w:p>
              </w:tc>
              <w:tc>
                <w:tcPr>
                  <w:tcW w:w="853" w:type="pct"/>
                  <w:vAlign w:val="center"/>
                </w:tcPr>
                <w:p w14:paraId="7E1C4096">
                  <w:pPr>
                    <w:pStyle w:val="28"/>
                    <w:rPr>
                      <w:rFonts w:hint="default"/>
                      <w:color w:val="auto"/>
                      <w:highlight w:val="none"/>
                    </w:rPr>
                  </w:pPr>
                  <w:r>
                    <w:rPr>
                      <w:rFonts w:hint="default"/>
                      <w:color w:val="auto"/>
                      <w:highlight w:val="none"/>
                    </w:rPr>
                    <w:t>500</w:t>
                  </w:r>
                </w:p>
              </w:tc>
              <w:tc>
                <w:tcPr>
                  <w:tcW w:w="576" w:type="pct"/>
                  <w:vMerge w:val="continue"/>
                  <w:vAlign w:val="center"/>
                </w:tcPr>
                <w:p w14:paraId="135B92DA">
                  <w:pPr>
                    <w:pStyle w:val="28"/>
                    <w:rPr>
                      <w:rFonts w:hint="default"/>
                      <w:color w:val="auto"/>
                      <w:highlight w:val="none"/>
                    </w:rPr>
                  </w:pPr>
                </w:p>
              </w:tc>
              <w:tc>
                <w:tcPr>
                  <w:tcW w:w="1073" w:type="pct"/>
                  <w:vMerge w:val="continue"/>
                  <w:vAlign w:val="center"/>
                </w:tcPr>
                <w:p w14:paraId="45FD20D2">
                  <w:pPr>
                    <w:pStyle w:val="28"/>
                    <w:rPr>
                      <w:rFonts w:hint="default"/>
                      <w:color w:val="auto"/>
                      <w:highlight w:val="none"/>
                    </w:rPr>
                  </w:pPr>
                </w:p>
              </w:tc>
            </w:tr>
            <w:tr w14:paraId="1B082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restart"/>
                  <w:vAlign w:val="center"/>
                </w:tcPr>
                <w:p w14:paraId="23DD73D0">
                  <w:pPr>
                    <w:pStyle w:val="28"/>
                    <w:rPr>
                      <w:rFonts w:hint="default"/>
                      <w:color w:val="auto"/>
                      <w:highlight w:val="none"/>
                    </w:rPr>
                  </w:pPr>
                  <w:r>
                    <w:rPr>
                      <w:rFonts w:hint="default"/>
                      <w:color w:val="auto"/>
                      <w:highlight w:val="none"/>
                    </w:rPr>
                    <w:t>O</w:t>
                  </w:r>
                  <w:r>
                    <w:rPr>
                      <w:rFonts w:hint="default"/>
                      <w:color w:val="auto"/>
                      <w:highlight w:val="none"/>
                      <w:vertAlign w:val="subscript"/>
                    </w:rPr>
                    <w:t>3</w:t>
                  </w:r>
                </w:p>
              </w:tc>
              <w:tc>
                <w:tcPr>
                  <w:tcW w:w="1594" w:type="pct"/>
                  <w:vAlign w:val="center"/>
                </w:tcPr>
                <w:p w14:paraId="60967D47">
                  <w:pPr>
                    <w:pStyle w:val="28"/>
                    <w:rPr>
                      <w:rFonts w:hint="default"/>
                      <w:color w:val="auto"/>
                      <w:highlight w:val="none"/>
                    </w:rPr>
                  </w:pPr>
                  <w:r>
                    <w:rPr>
                      <w:rFonts w:hint="default"/>
                      <w:color w:val="auto"/>
                      <w:highlight w:val="none"/>
                    </w:rPr>
                    <w:t>日最大8小时平均</w:t>
                  </w:r>
                </w:p>
              </w:tc>
              <w:tc>
                <w:tcPr>
                  <w:tcW w:w="853" w:type="pct"/>
                  <w:vAlign w:val="center"/>
                </w:tcPr>
                <w:p w14:paraId="51A18ECF">
                  <w:pPr>
                    <w:pStyle w:val="28"/>
                    <w:rPr>
                      <w:rFonts w:hint="default"/>
                      <w:color w:val="auto"/>
                      <w:highlight w:val="none"/>
                    </w:rPr>
                  </w:pPr>
                  <w:r>
                    <w:rPr>
                      <w:rFonts w:hint="default"/>
                      <w:color w:val="auto"/>
                      <w:highlight w:val="none"/>
                    </w:rPr>
                    <w:t>160</w:t>
                  </w:r>
                </w:p>
              </w:tc>
              <w:tc>
                <w:tcPr>
                  <w:tcW w:w="576" w:type="pct"/>
                  <w:vMerge w:val="continue"/>
                  <w:vAlign w:val="center"/>
                </w:tcPr>
                <w:p w14:paraId="5FFD0721">
                  <w:pPr>
                    <w:pStyle w:val="28"/>
                    <w:rPr>
                      <w:rFonts w:hint="default"/>
                      <w:color w:val="auto"/>
                      <w:highlight w:val="none"/>
                    </w:rPr>
                  </w:pPr>
                </w:p>
              </w:tc>
              <w:tc>
                <w:tcPr>
                  <w:tcW w:w="1073" w:type="pct"/>
                  <w:vMerge w:val="continue"/>
                  <w:vAlign w:val="center"/>
                </w:tcPr>
                <w:p w14:paraId="69F5A7E0">
                  <w:pPr>
                    <w:pStyle w:val="28"/>
                    <w:rPr>
                      <w:rFonts w:hint="default"/>
                      <w:color w:val="auto"/>
                      <w:highlight w:val="none"/>
                    </w:rPr>
                  </w:pPr>
                </w:p>
              </w:tc>
            </w:tr>
            <w:tr w14:paraId="465CD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continue"/>
                  <w:vAlign w:val="center"/>
                </w:tcPr>
                <w:p w14:paraId="7BC04F7A">
                  <w:pPr>
                    <w:pStyle w:val="28"/>
                    <w:rPr>
                      <w:rFonts w:hint="default"/>
                      <w:color w:val="auto"/>
                      <w:highlight w:val="none"/>
                    </w:rPr>
                  </w:pPr>
                </w:p>
              </w:tc>
              <w:tc>
                <w:tcPr>
                  <w:tcW w:w="1594" w:type="pct"/>
                  <w:vAlign w:val="center"/>
                </w:tcPr>
                <w:p w14:paraId="011B2F8C">
                  <w:pPr>
                    <w:pStyle w:val="28"/>
                    <w:rPr>
                      <w:rFonts w:hint="default"/>
                      <w:color w:val="auto"/>
                      <w:highlight w:val="none"/>
                    </w:rPr>
                  </w:pPr>
                  <w:r>
                    <w:rPr>
                      <w:rFonts w:hint="default"/>
                      <w:color w:val="auto"/>
                      <w:highlight w:val="none"/>
                    </w:rPr>
                    <w:t>1小时平均</w:t>
                  </w:r>
                </w:p>
              </w:tc>
              <w:tc>
                <w:tcPr>
                  <w:tcW w:w="853" w:type="pct"/>
                  <w:vAlign w:val="center"/>
                </w:tcPr>
                <w:p w14:paraId="720F8655">
                  <w:pPr>
                    <w:pStyle w:val="28"/>
                    <w:rPr>
                      <w:rFonts w:hint="default"/>
                      <w:color w:val="auto"/>
                      <w:highlight w:val="none"/>
                    </w:rPr>
                  </w:pPr>
                  <w:r>
                    <w:rPr>
                      <w:rFonts w:hint="default"/>
                      <w:color w:val="auto"/>
                      <w:highlight w:val="none"/>
                    </w:rPr>
                    <w:t>200</w:t>
                  </w:r>
                </w:p>
              </w:tc>
              <w:tc>
                <w:tcPr>
                  <w:tcW w:w="576" w:type="pct"/>
                  <w:vMerge w:val="continue"/>
                  <w:vAlign w:val="center"/>
                </w:tcPr>
                <w:p w14:paraId="64A6EC3D">
                  <w:pPr>
                    <w:pStyle w:val="28"/>
                    <w:rPr>
                      <w:rFonts w:hint="default"/>
                      <w:color w:val="auto"/>
                      <w:highlight w:val="none"/>
                    </w:rPr>
                  </w:pPr>
                </w:p>
              </w:tc>
              <w:tc>
                <w:tcPr>
                  <w:tcW w:w="1073" w:type="pct"/>
                  <w:vMerge w:val="continue"/>
                  <w:vAlign w:val="center"/>
                </w:tcPr>
                <w:p w14:paraId="5E2C5175">
                  <w:pPr>
                    <w:pStyle w:val="28"/>
                    <w:rPr>
                      <w:rFonts w:hint="default"/>
                      <w:color w:val="auto"/>
                      <w:highlight w:val="none"/>
                    </w:rPr>
                  </w:pPr>
                </w:p>
              </w:tc>
            </w:tr>
            <w:tr w14:paraId="2C0DD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restart"/>
                  <w:vAlign w:val="center"/>
                </w:tcPr>
                <w:p w14:paraId="176A05C9">
                  <w:pPr>
                    <w:pStyle w:val="28"/>
                    <w:rPr>
                      <w:rFonts w:hint="default"/>
                      <w:color w:val="auto"/>
                      <w:highlight w:val="none"/>
                    </w:rPr>
                  </w:pPr>
                  <w:r>
                    <w:rPr>
                      <w:rFonts w:hint="default"/>
                      <w:color w:val="auto"/>
                      <w:highlight w:val="none"/>
                    </w:rPr>
                    <w:t>NO</w:t>
                  </w:r>
                  <w:r>
                    <w:rPr>
                      <w:rFonts w:hint="default"/>
                      <w:color w:val="auto"/>
                      <w:highlight w:val="none"/>
                      <w:vertAlign w:val="subscript"/>
                    </w:rPr>
                    <w:t>2</w:t>
                  </w:r>
                </w:p>
              </w:tc>
              <w:tc>
                <w:tcPr>
                  <w:tcW w:w="1594" w:type="pct"/>
                  <w:vAlign w:val="center"/>
                </w:tcPr>
                <w:p w14:paraId="590B54B5">
                  <w:pPr>
                    <w:pStyle w:val="28"/>
                    <w:rPr>
                      <w:rFonts w:hint="default"/>
                      <w:color w:val="auto"/>
                      <w:highlight w:val="none"/>
                    </w:rPr>
                  </w:pPr>
                  <w:r>
                    <w:rPr>
                      <w:rFonts w:hint="default"/>
                      <w:color w:val="auto"/>
                      <w:highlight w:val="none"/>
                    </w:rPr>
                    <w:t>年平均</w:t>
                  </w:r>
                </w:p>
              </w:tc>
              <w:tc>
                <w:tcPr>
                  <w:tcW w:w="853" w:type="pct"/>
                  <w:vAlign w:val="center"/>
                </w:tcPr>
                <w:p w14:paraId="5E3CD76D">
                  <w:pPr>
                    <w:pStyle w:val="28"/>
                    <w:rPr>
                      <w:rFonts w:hint="default"/>
                      <w:color w:val="auto"/>
                      <w:highlight w:val="none"/>
                    </w:rPr>
                  </w:pPr>
                  <w:r>
                    <w:rPr>
                      <w:rFonts w:hint="default"/>
                      <w:color w:val="auto"/>
                      <w:highlight w:val="none"/>
                    </w:rPr>
                    <w:t>40</w:t>
                  </w:r>
                </w:p>
              </w:tc>
              <w:tc>
                <w:tcPr>
                  <w:tcW w:w="576" w:type="pct"/>
                  <w:vMerge w:val="continue"/>
                  <w:vAlign w:val="center"/>
                </w:tcPr>
                <w:p w14:paraId="58BE3049">
                  <w:pPr>
                    <w:pStyle w:val="28"/>
                    <w:rPr>
                      <w:rFonts w:hint="default"/>
                      <w:color w:val="auto"/>
                      <w:highlight w:val="none"/>
                    </w:rPr>
                  </w:pPr>
                </w:p>
              </w:tc>
              <w:tc>
                <w:tcPr>
                  <w:tcW w:w="1073" w:type="pct"/>
                  <w:vMerge w:val="continue"/>
                  <w:vAlign w:val="center"/>
                </w:tcPr>
                <w:p w14:paraId="21153981">
                  <w:pPr>
                    <w:pStyle w:val="28"/>
                    <w:rPr>
                      <w:rFonts w:hint="default"/>
                      <w:color w:val="auto"/>
                      <w:highlight w:val="none"/>
                    </w:rPr>
                  </w:pPr>
                </w:p>
              </w:tc>
            </w:tr>
            <w:tr w14:paraId="4F8E8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continue"/>
                  <w:vAlign w:val="center"/>
                </w:tcPr>
                <w:p w14:paraId="46D66FED">
                  <w:pPr>
                    <w:pStyle w:val="28"/>
                    <w:rPr>
                      <w:rFonts w:hint="default"/>
                      <w:color w:val="auto"/>
                      <w:highlight w:val="none"/>
                    </w:rPr>
                  </w:pPr>
                </w:p>
              </w:tc>
              <w:tc>
                <w:tcPr>
                  <w:tcW w:w="1594" w:type="pct"/>
                  <w:vAlign w:val="center"/>
                </w:tcPr>
                <w:p w14:paraId="1450C9B4">
                  <w:pPr>
                    <w:pStyle w:val="28"/>
                    <w:rPr>
                      <w:rFonts w:hint="default"/>
                      <w:color w:val="auto"/>
                      <w:highlight w:val="none"/>
                    </w:rPr>
                  </w:pPr>
                  <w:r>
                    <w:rPr>
                      <w:rFonts w:hint="default"/>
                      <w:color w:val="auto"/>
                      <w:highlight w:val="none"/>
                    </w:rPr>
                    <w:t>24小时平均</w:t>
                  </w:r>
                </w:p>
              </w:tc>
              <w:tc>
                <w:tcPr>
                  <w:tcW w:w="853" w:type="pct"/>
                  <w:vAlign w:val="center"/>
                </w:tcPr>
                <w:p w14:paraId="52BD2D10">
                  <w:pPr>
                    <w:pStyle w:val="28"/>
                    <w:rPr>
                      <w:rFonts w:hint="default"/>
                      <w:color w:val="auto"/>
                      <w:highlight w:val="none"/>
                    </w:rPr>
                  </w:pPr>
                  <w:r>
                    <w:rPr>
                      <w:rFonts w:hint="default"/>
                      <w:color w:val="auto"/>
                      <w:highlight w:val="none"/>
                    </w:rPr>
                    <w:t>80</w:t>
                  </w:r>
                </w:p>
              </w:tc>
              <w:tc>
                <w:tcPr>
                  <w:tcW w:w="576" w:type="pct"/>
                  <w:vMerge w:val="continue"/>
                  <w:vAlign w:val="center"/>
                </w:tcPr>
                <w:p w14:paraId="6ADF5010">
                  <w:pPr>
                    <w:pStyle w:val="28"/>
                    <w:rPr>
                      <w:rFonts w:hint="default"/>
                      <w:color w:val="auto"/>
                      <w:highlight w:val="none"/>
                    </w:rPr>
                  </w:pPr>
                </w:p>
              </w:tc>
              <w:tc>
                <w:tcPr>
                  <w:tcW w:w="1073" w:type="pct"/>
                  <w:vMerge w:val="continue"/>
                  <w:vAlign w:val="center"/>
                </w:tcPr>
                <w:p w14:paraId="5FE02973">
                  <w:pPr>
                    <w:pStyle w:val="28"/>
                    <w:rPr>
                      <w:rFonts w:hint="default"/>
                      <w:color w:val="auto"/>
                      <w:highlight w:val="none"/>
                    </w:rPr>
                  </w:pPr>
                </w:p>
              </w:tc>
            </w:tr>
            <w:tr w14:paraId="27F90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continue"/>
                  <w:vAlign w:val="center"/>
                </w:tcPr>
                <w:p w14:paraId="5284FC99">
                  <w:pPr>
                    <w:pStyle w:val="28"/>
                    <w:rPr>
                      <w:rFonts w:hint="default"/>
                      <w:color w:val="auto"/>
                      <w:highlight w:val="none"/>
                    </w:rPr>
                  </w:pPr>
                </w:p>
              </w:tc>
              <w:tc>
                <w:tcPr>
                  <w:tcW w:w="1594" w:type="pct"/>
                  <w:vAlign w:val="center"/>
                </w:tcPr>
                <w:p w14:paraId="294B7FCF">
                  <w:pPr>
                    <w:pStyle w:val="28"/>
                    <w:rPr>
                      <w:rFonts w:hint="default"/>
                      <w:color w:val="auto"/>
                      <w:highlight w:val="none"/>
                    </w:rPr>
                  </w:pPr>
                  <w:r>
                    <w:rPr>
                      <w:rFonts w:hint="default"/>
                      <w:color w:val="auto"/>
                      <w:highlight w:val="none"/>
                    </w:rPr>
                    <w:t>1小时平均</w:t>
                  </w:r>
                </w:p>
              </w:tc>
              <w:tc>
                <w:tcPr>
                  <w:tcW w:w="853" w:type="pct"/>
                  <w:vAlign w:val="center"/>
                </w:tcPr>
                <w:p w14:paraId="2CE063C5">
                  <w:pPr>
                    <w:pStyle w:val="28"/>
                    <w:rPr>
                      <w:rFonts w:hint="default"/>
                      <w:color w:val="auto"/>
                      <w:highlight w:val="none"/>
                    </w:rPr>
                  </w:pPr>
                  <w:r>
                    <w:rPr>
                      <w:rFonts w:hint="default"/>
                      <w:color w:val="auto"/>
                      <w:highlight w:val="none"/>
                    </w:rPr>
                    <w:t>200</w:t>
                  </w:r>
                </w:p>
              </w:tc>
              <w:tc>
                <w:tcPr>
                  <w:tcW w:w="576" w:type="pct"/>
                  <w:vMerge w:val="continue"/>
                  <w:vAlign w:val="center"/>
                </w:tcPr>
                <w:p w14:paraId="49AAF188">
                  <w:pPr>
                    <w:pStyle w:val="28"/>
                    <w:rPr>
                      <w:rFonts w:hint="default"/>
                      <w:color w:val="auto"/>
                      <w:highlight w:val="none"/>
                    </w:rPr>
                  </w:pPr>
                </w:p>
              </w:tc>
              <w:tc>
                <w:tcPr>
                  <w:tcW w:w="1073" w:type="pct"/>
                  <w:vMerge w:val="continue"/>
                  <w:vAlign w:val="center"/>
                </w:tcPr>
                <w:p w14:paraId="23ECC3C2">
                  <w:pPr>
                    <w:pStyle w:val="28"/>
                    <w:rPr>
                      <w:rFonts w:hint="default"/>
                      <w:color w:val="auto"/>
                      <w:highlight w:val="none"/>
                    </w:rPr>
                  </w:pPr>
                </w:p>
              </w:tc>
            </w:tr>
            <w:tr w14:paraId="408F0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restart"/>
                  <w:vAlign w:val="center"/>
                </w:tcPr>
                <w:p w14:paraId="417E63BC">
                  <w:pPr>
                    <w:pStyle w:val="28"/>
                    <w:rPr>
                      <w:rFonts w:hint="default"/>
                      <w:color w:val="auto"/>
                      <w:highlight w:val="none"/>
                    </w:rPr>
                  </w:pPr>
                  <w:r>
                    <w:rPr>
                      <w:rFonts w:hint="default"/>
                      <w:color w:val="auto"/>
                      <w:highlight w:val="none"/>
                    </w:rPr>
                    <w:t>PM</w:t>
                  </w:r>
                  <w:r>
                    <w:rPr>
                      <w:rFonts w:hint="default"/>
                      <w:color w:val="auto"/>
                      <w:highlight w:val="none"/>
                      <w:vertAlign w:val="subscript"/>
                    </w:rPr>
                    <w:t>10</w:t>
                  </w:r>
                </w:p>
              </w:tc>
              <w:tc>
                <w:tcPr>
                  <w:tcW w:w="1594" w:type="pct"/>
                  <w:vAlign w:val="center"/>
                </w:tcPr>
                <w:p w14:paraId="3411125D">
                  <w:pPr>
                    <w:pStyle w:val="28"/>
                    <w:rPr>
                      <w:rFonts w:hint="default"/>
                      <w:color w:val="auto"/>
                      <w:highlight w:val="none"/>
                    </w:rPr>
                  </w:pPr>
                  <w:r>
                    <w:rPr>
                      <w:rFonts w:hint="default"/>
                      <w:color w:val="auto"/>
                      <w:highlight w:val="none"/>
                    </w:rPr>
                    <w:t>年平均</w:t>
                  </w:r>
                </w:p>
              </w:tc>
              <w:tc>
                <w:tcPr>
                  <w:tcW w:w="853" w:type="pct"/>
                  <w:vAlign w:val="center"/>
                </w:tcPr>
                <w:p w14:paraId="3E91420D">
                  <w:pPr>
                    <w:pStyle w:val="28"/>
                    <w:rPr>
                      <w:rFonts w:hint="default"/>
                      <w:color w:val="auto"/>
                      <w:highlight w:val="none"/>
                    </w:rPr>
                  </w:pPr>
                  <w:r>
                    <w:rPr>
                      <w:rFonts w:hint="default"/>
                      <w:color w:val="auto"/>
                      <w:highlight w:val="none"/>
                    </w:rPr>
                    <w:t>70</w:t>
                  </w:r>
                </w:p>
              </w:tc>
              <w:tc>
                <w:tcPr>
                  <w:tcW w:w="576" w:type="pct"/>
                  <w:vMerge w:val="continue"/>
                  <w:vAlign w:val="center"/>
                </w:tcPr>
                <w:p w14:paraId="630DD848">
                  <w:pPr>
                    <w:pStyle w:val="28"/>
                    <w:rPr>
                      <w:rFonts w:hint="default"/>
                      <w:color w:val="auto"/>
                      <w:highlight w:val="none"/>
                    </w:rPr>
                  </w:pPr>
                </w:p>
              </w:tc>
              <w:tc>
                <w:tcPr>
                  <w:tcW w:w="1073" w:type="pct"/>
                  <w:vMerge w:val="continue"/>
                  <w:vAlign w:val="center"/>
                </w:tcPr>
                <w:p w14:paraId="6DCD5D8A">
                  <w:pPr>
                    <w:pStyle w:val="28"/>
                    <w:rPr>
                      <w:rFonts w:hint="default"/>
                      <w:color w:val="auto"/>
                      <w:highlight w:val="none"/>
                    </w:rPr>
                  </w:pPr>
                </w:p>
              </w:tc>
            </w:tr>
            <w:tr w14:paraId="66F33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continue"/>
                  <w:vAlign w:val="center"/>
                </w:tcPr>
                <w:p w14:paraId="49C5E380">
                  <w:pPr>
                    <w:pStyle w:val="28"/>
                    <w:rPr>
                      <w:rFonts w:hint="default"/>
                      <w:color w:val="auto"/>
                      <w:highlight w:val="none"/>
                    </w:rPr>
                  </w:pPr>
                </w:p>
              </w:tc>
              <w:tc>
                <w:tcPr>
                  <w:tcW w:w="1594" w:type="pct"/>
                  <w:vAlign w:val="center"/>
                </w:tcPr>
                <w:p w14:paraId="47230BF5">
                  <w:pPr>
                    <w:pStyle w:val="28"/>
                    <w:rPr>
                      <w:rFonts w:hint="default"/>
                      <w:color w:val="auto"/>
                      <w:highlight w:val="none"/>
                    </w:rPr>
                  </w:pPr>
                  <w:r>
                    <w:rPr>
                      <w:rFonts w:hint="default"/>
                      <w:color w:val="auto"/>
                      <w:highlight w:val="none"/>
                    </w:rPr>
                    <w:t>24小时平均</w:t>
                  </w:r>
                </w:p>
              </w:tc>
              <w:tc>
                <w:tcPr>
                  <w:tcW w:w="853" w:type="pct"/>
                  <w:vAlign w:val="center"/>
                </w:tcPr>
                <w:p w14:paraId="1BA519B7">
                  <w:pPr>
                    <w:pStyle w:val="28"/>
                    <w:rPr>
                      <w:rFonts w:hint="default"/>
                      <w:color w:val="auto"/>
                      <w:highlight w:val="none"/>
                    </w:rPr>
                  </w:pPr>
                  <w:r>
                    <w:rPr>
                      <w:rFonts w:hint="default"/>
                      <w:color w:val="auto"/>
                      <w:highlight w:val="none"/>
                    </w:rPr>
                    <w:t>150</w:t>
                  </w:r>
                </w:p>
              </w:tc>
              <w:tc>
                <w:tcPr>
                  <w:tcW w:w="576" w:type="pct"/>
                  <w:vMerge w:val="continue"/>
                  <w:vAlign w:val="center"/>
                </w:tcPr>
                <w:p w14:paraId="7A6EA206">
                  <w:pPr>
                    <w:pStyle w:val="28"/>
                    <w:rPr>
                      <w:rFonts w:hint="default"/>
                      <w:color w:val="auto"/>
                      <w:highlight w:val="none"/>
                    </w:rPr>
                  </w:pPr>
                </w:p>
              </w:tc>
              <w:tc>
                <w:tcPr>
                  <w:tcW w:w="1073" w:type="pct"/>
                  <w:vMerge w:val="continue"/>
                  <w:vAlign w:val="center"/>
                </w:tcPr>
                <w:p w14:paraId="2A5B9214">
                  <w:pPr>
                    <w:pStyle w:val="28"/>
                    <w:rPr>
                      <w:rFonts w:hint="default"/>
                      <w:color w:val="auto"/>
                      <w:highlight w:val="none"/>
                    </w:rPr>
                  </w:pPr>
                </w:p>
              </w:tc>
            </w:tr>
            <w:tr w14:paraId="6ECAF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restart"/>
                  <w:vAlign w:val="center"/>
                </w:tcPr>
                <w:p w14:paraId="3A053A90">
                  <w:pPr>
                    <w:pStyle w:val="28"/>
                    <w:rPr>
                      <w:rFonts w:hint="default"/>
                      <w:color w:val="auto"/>
                      <w:highlight w:val="none"/>
                    </w:rPr>
                  </w:pPr>
                  <w:r>
                    <w:rPr>
                      <w:rFonts w:hint="default"/>
                      <w:color w:val="auto"/>
                      <w:highlight w:val="none"/>
                    </w:rPr>
                    <w:t>PM</w:t>
                  </w:r>
                  <w:r>
                    <w:rPr>
                      <w:rFonts w:hint="default"/>
                      <w:color w:val="auto"/>
                      <w:highlight w:val="none"/>
                      <w:vertAlign w:val="subscript"/>
                    </w:rPr>
                    <w:t>2.5</w:t>
                  </w:r>
                </w:p>
              </w:tc>
              <w:tc>
                <w:tcPr>
                  <w:tcW w:w="1594" w:type="pct"/>
                  <w:vAlign w:val="center"/>
                </w:tcPr>
                <w:p w14:paraId="07AF1D13">
                  <w:pPr>
                    <w:pStyle w:val="28"/>
                    <w:rPr>
                      <w:rFonts w:hint="default"/>
                      <w:color w:val="auto"/>
                      <w:highlight w:val="none"/>
                    </w:rPr>
                  </w:pPr>
                  <w:r>
                    <w:rPr>
                      <w:rFonts w:hint="default"/>
                      <w:color w:val="auto"/>
                      <w:highlight w:val="none"/>
                    </w:rPr>
                    <w:t>年平均</w:t>
                  </w:r>
                </w:p>
              </w:tc>
              <w:tc>
                <w:tcPr>
                  <w:tcW w:w="853" w:type="pct"/>
                  <w:vAlign w:val="center"/>
                </w:tcPr>
                <w:p w14:paraId="13DB0518">
                  <w:pPr>
                    <w:pStyle w:val="28"/>
                    <w:rPr>
                      <w:rFonts w:hint="default"/>
                      <w:color w:val="auto"/>
                      <w:highlight w:val="none"/>
                    </w:rPr>
                  </w:pPr>
                  <w:r>
                    <w:rPr>
                      <w:rFonts w:hint="default"/>
                      <w:color w:val="auto"/>
                      <w:highlight w:val="none"/>
                    </w:rPr>
                    <w:t>35</w:t>
                  </w:r>
                </w:p>
              </w:tc>
              <w:tc>
                <w:tcPr>
                  <w:tcW w:w="576" w:type="pct"/>
                  <w:vMerge w:val="continue"/>
                  <w:vAlign w:val="center"/>
                </w:tcPr>
                <w:p w14:paraId="2171628D">
                  <w:pPr>
                    <w:pStyle w:val="28"/>
                    <w:rPr>
                      <w:rFonts w:hint="default"/>
                      <w:color w:val="auto"/>
                      <w:highlight w:val="none"/>
                    </w:rPr>
                  </w:pPr>
                </w:p>
              </w:tc>
              <w:tc>
                <w:tcPr>
                  <w:tcW w:w="1073" w:type="pct"/>
                  <w:vMerge w:val="continue"/>
                  <w:vAlign w:val="center"/>
                </w:tcPr>
                <w:p w14:paraId="439AC503">
                  <w:pPr>
                    <w:pStyle w:val="28"/>
                    <w:rPr>
                      <w:rFonts w:hint="default"/>
                      <w:color w:val="auto"/>
                      <w:highlight w:val="none"/>
                    </w:rPr>
                  </w:pPr>
                </w:p>
              </w:tc>
            </w:tr>
            <w:tr w14:paraId="47552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continue"/>
                  <w:vAlign w:val="center"/>
                </w:tcPr>
                <w:p w14:paraId="2A1D3E3A">
                  <w:pPr>
                    <w:pStyle w:val="28"/>
                    <w:rPr>
                      <w:rFonts w:hint="default"/>
                      <w:color w:val="auto"/>
                      <w:highlight w:val="none"/>
                    </w:rPr>
                  </w:pPr>
                </w:p>
              </w:tc>
              <w:tc>
                <w:tcPr>
                  <w:tcW w:w="1594" w:type="pct"/>
                  <w:vAlign w:val="center"/>
                </w:tcPr>
                <w:p w14:paraId="2E8F8FAE">
                  <w:pPr>
                    <w:pStyle w:val="28"/>
                    <w:rPr>
                      <w:rFonts w:hint="default"/>
                      <w:color w:val="auto"/>
                      <w:highlight w:val="none"/>
                    </w:rPr>
                  </w:pPr>
                  <w:r>
                    <w:rPr>
                      <w:rFonts w:hint="default"/>
                      <w:color w:val="auto"/>
                      <w:highlight w:val="none"/>
                    </w:rPr>
                    <w:t>24小时平均</w:t>
                  </w:r>
                </w:p>
              </w:tc>
              <w:tc>
                <w:tcPr>
                  <w:tcW w:w="853" w:type="pct"/>
                  <w:vAlign w:val="center"/>
                </w:tcPr>
                <w:p w14:paraId="54FAF2AB">
                  <w:pPr>
                    <w:pStyle w:val="28"/>
                    <w:rPr>
                      <w:rFonts w:hint="default"/>
                      <w:color w:val="auto"/>
                      <w:highlight w:val="none"/>
                    </w:rPr>
                  </w:pPr>
                  <w:r>
                    <w:rPr>
                      <w:rFonts w:hint="default"/>
                      <w:color w:val="auto"/>
                      <w:highlight w:val="none"/>
                    </w:rPr>
                    <w:t>75</w:t>
                  </w:r>
                </w:p>
              </w:tc>
              <w:tc>
                <w:tcPr>
                  <w:tcW w:w="576" w:type="pct"/>
                  <w:vMerge w:val="continue"/>
                  <w:vAlign w:val="center"/>
                </w:tcPr>
                <w:p w14:paraId="2B99F1F0">
                  <w:pPr>
                    <w:pStyle w:val="28"/>
                    <w:rPr>
                      <w:rFonts w:hint="default"/>
                      <w:color w:val="auto"/>
                      <w:highlight w:val="none"/>
                    </w:rPr>
                  </w:pPr>
                </w:p>
              </w:tc>
              <w:tc>
                <w:tcPr>
                  <w:tcW w:w="1073" w:type="pct"/>
                  <w:vMerge w:val="continue"/>
                  <w:vAlign w:val="center"/>
                </w:tcPr>
                <w:p w14:paraId="4F675461">
                  <w:pPr>
                    <w:pStyle w:val="28"/>
                    <w:rPr>
                      <w:rFonts w:hint="default"/>
                      <w:color w:val="auto"/>
                      <w:highlight w:val="none"/>
                    </w:rPr>
                  </w:pPr>
                </w:p>
              </w:tc>
            </w:tr>
            <w:tr w14:paraId="12960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restart"/>
                  <w:vAlign w:val="center"/>
                </w:tcPr>
                <w:p w14:paraId="22EC32D6">
                  <w:pPr>
                    <w:pStyle w:val="28"/>
                    <w:rPr>
                      <w:rFonts w:hint="default"/>
                      <w:color w:val="auto"/>
                      <w:highlight w:val="none"/>
                    </w:rPr>
                  </w:pPr>
                  <w:r>
                    <w:rPr>
                      <w:rFonts w:hint="default"/>
                      <w:color w:val="auto"/>
                      <w:highlight w:val="none"/>
                    </w:rPr>
                    <w:t>CO</w:t>
                  </w:r>
                </w:p>
              </w:tc>
              <w:tc>
                <w:tcPr>
                  <w:tcW w:w="1594" w:type="pct"/>
                  <w:vAlign w:val="center"/>
                </w:tcPr>
                <w:p w14:paraId="1C482F2E">
                  <w:pPr>
                    <w:pStyle w:val="28"/>
                    <w:rPr>
                      <w:rFonts w:hint="default"/>
                      <w:color w:val="auto"/>
                      <w:highlight w:val="none"/>
                    </w:rPr>
                  </w:pPr>
                  <w:r>
                    <w:rPr>
                      <w:rFonts w:hint="default"/>
                      <w:color w:val="auto"/>
                      <w:highlight w:val="none"/>
                    </w:rPr>
                    <w:t>24小时平均</w:t>
                  </w:r>
                </w:p>
              </w:tc>
              <w:tc>
                <w:tcPr>
                  <w:tcW w:w="853" w:type="pct"/>
                  <w:vAlign w:val="center"/>
                </w:tcPr>
                <w:p w14:paraId="5FEE341E">
                  <w:pPr>
                    <w:pStyle w:val="28"/>
                    <w:rPr>
                      <w:rFonts w:hint="default"/>
                      <w:color w:val="auto"/>
                      <w:highlight w:val="none"/>
                    </w:rPr>
                  </w:pPr>
                  <w:r>
                    <w:rPr>
                      <w:rFonts w:hint="default"/>
                      <w:color w:val="auto"/>
                      <w:highlight w:val="none"/>
                    </w:rPr>
                    <w:t>4</w:t>
                  </w:r>
                </w:p>
              </w:tc>
              <w:tc>
                <w:tcPr>
                  <w:tcW w:w="576" w:type="pct"/>
                  <w:vMerge w:val="restart"/>
                  <w:vAlign w:val="center"/>
                </w:tcPr>
                <w:p w14:paraId="3A8B5C0E">
                  <w:pPr>
                    <w:pStyle w:val="28"/>
                    <w:rPr>
                      <w:rFonts w:hint="default"/>
                      <w:color w:val="auto"/>
                      <w:highlight w:val="none"/>
                    </w:rPr>
                  </w:pPr>
                  <w:r>
                    <w:rPr>
                      <w:rFonts w:hint="default"/>
                      <w:color w:val="auto"/>
                      <w:highlight w:val="none"/>
                    </w:rPr>
                    <w:t>mg/m</w:t>
                  </w:r>
                  <w:r>
                    <w:rPr>
                      <w:rFonts w:hint="default"/>
                      <w:color w:val="auto"/>
                      <w:highlight w:val="none"/>
                      <w:vertAlign w:val="superscript"/>
                    </w:rPr>
                    <w:t>3</w:t>
                  </w:r>
                </w:p>
              </w:tc>
              <w:tc>
                <w:tcPr>
                  <w:tcW w:w="1073" w:type="pct"/>
                  <w:vMerge w:val="continue"/>
                  <w:vAlign w:val="center"/>
                </w:tcPr>
                <w:p w14:paraId="376CCC92">
                  <w:pPr>
                    <w:pStyle w:val="28"/>
                    <w:rPr>
                      <w:rFonts w:hint="default"/>
                      <w:color w:val="auto"/>
                      <w:highlight w:val="none"/>
                    </w:rPr>
                  </w:pPr>
                </w:p>
              </w:tc>
            </w:tr>
            <w:tr w14:paraId="48E6B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5" w:type="pct"/>
                  <w:vMerge w:val="continue"/>
                  <w:vAlign w:val="center"/>
                </w:tcPr>
                <w:p w14:paraId="474F6888">
                  <w:pPr>
                    <w:pStyle w:val="28"/>
                    <w:rPr>
                      <w:rFonts w:hint="default"/>
                      <w:color w:val="auto"/>
                      <w:highlight w:val="none"/>
                    </w:rPr>
                  </w:pPr>
                </w:p>
              </w:tc>
              <w:tc>
                <w:tcPr>
                  <w:tcW w:w="1594" w:type="pct"/>
                  <w:vAlign w:val="center"/>
                </w:tcPr>
                <w:p w14:paraId="6EC92B4F">
                  <w:pPr>
                    <w:pStyle w:val="28"/>
                    <w:rPr>
                      <w:rFonts w:hint="default"/>
                      <w:color w:val="auto"/>
                      <w:highlight w:val="none"/>
                    </w:rPr>
                  </w:pPr>
                  <w:r>
                    <w:rPr>
                      <w:rFonts w:hint="default"/>
                      <w:color w:val="auto"/>
                      <w:highlight w:val="none"/>
                    </w:rPr>
                    <w:t>1小时平均</w:t>
                  </w:r>
                </w:p>
              </w:tc>
              <w:tc>
                <w:tcPr>
                  <w:tcW w:w="853" w:type="pct"/>
                  <w:vAlign w:val="center"/>
                </w:tcPr>
                <w:p w14:paraId="628821FF">
                  <w:pPr>
                    <w:pStyle w:val="28"/>
                    <w:rPr>
                      <w:rFonts w:hint="default"/>
                      <w:color w:val="auto"/>
                      <w:highlight w:val="none"/>
                    </w:rPr>
                  </w:pPr>
                  <w:r>
                    <w:rPr>
                      <w:rFonts w:hint="default"/>
                      <w:color w:val="auto"/>
                      <w:highlight w:val="none"/>
                    </w:rPr>
                    <w:t>10</w:t>
                  </w:r>
                </w:p>
              </w:tc>
              <w:tc>
                <w:tcPr>
                  <w:tcW w:w="576" w:type="pct"/>
                  <w:vMerge w:val="continue"/>
                  <w:vAlign w:val="center"/>
                </w:tcPr>
                <w:p w14:paraId="5FEF1D59">
                  <w:pPr>
                    <w:pStyle w:val="28"/>
                    <w:rPr>
                      <w:rFonts w:hint="default"/>
                      <w:color w:val="auto"/>
                      <w:highlight w:val="none"/>
                    </w:rPr>
                  </w:pPr>
                </w:p>
              </w:tc>
              <w:tc>
                <w:tcPr>
                  <w:tcW w:w="1073" w:type="pct"/>
                  <w:vMerge w:val="continue"/>
                  <w:vAlign w:val="center"/>
                </w:tcPr>
                <w:p w14:paraId="6231773B">
                  <w:pPr>
                    <w:pStyle w:val="28"/>
                    <w:rPr>
                      <w:rFonts w:hint="default"/>
                      <w:color w:val="auto"/>
                      <w:highlight w:val="none"/>
                    </w:rPr>
                  </w:pPr>
                </w:p>
              </w:tc>
            </w:tr>
          </w:tbl>
          <w:p w14:paraId="4A5E9889">
            <w:pPr>
              <w:adjustRightInd w:val="0"/>
              <w:snapToGrid w:val="0"/>
              <w:spacing w:line="480" w:lineRule="exact"/>
              <w:ind w:firstLine="480"/>
              <w:rPr>
                <w:color w:val="auto"/>
                <w:kern w:val="0"/>
                <w:highlight w:val="none"/>
              </w:rPr>
            </w:pPr>
            <w:r>
              <w:rPr>
                <w:rFonts w:hint="eastAsia"/>
                <w:color w:val="auto"/>
                <w:kern w:val="0"/>
                <w:highlight w:val="none"/>
              </w:rPr>
              <w:t>（2）</w:t>
            </w:r>
            <w:r>
              <w:rPr>
                <w:color w:val="auto"/>
                <w:kern w:val="0"/>
                <w:highlight w:val="none"/>
              </w:rPr>
              <w:t>地表水环境</w:t>
            </w:r>
          </w:p>
          <w:p w14:paraId="28FD04CA">
            <w:pPr>
              <w:adjustRightInd w:val="0"/>
              <w:snapToGrid w:val="0"/>
              <w:spacing w:line="480" w:lineRule="exact"/>
              <w:ind w:firstLine="480"/>
              <w:rPr>
                <w:color w:val="auto"/>
                <w:kern w:val="0"/>
                <w:highlight w:val="none"/>
              </w:rPr>
            </w:pPr>
            <w:r>
              <w:rPr>
                <w:rFonts w:hint="eastAsia"/>
                <w:color w:val="auto"/>
                <w:kern w:val="0"/>
                <w:highlight w:val="none"/>
              </w:rPr>
              <w:t>地表水环境</w:t>
            </w:r>
            <w:r>
              <w:rPr>
                <w:color w:val="auto"/>
                <w:kern w:val="0"/>
                <w:highlight w:val="none"/>
              </w:rPr>
              <w:t>执行《地表水环境质量标准》（GB</w:t>
            </w:r>
            <w:r>
              <w:rPr>
                <w:rFonts w:hint="eastAsia"/>
                <w:color w:val="auto"/>
                <w:kern w:val="0"/>
                <w:highlight w:val="none"/>
              </w:rPr>
              <w:t xml:space="preserve"> </w:t>
            </w:r>
            <w:r>
              <w:rPr>
                <w:color w:val="auto"/>
                <w:kern w:val="0"/>
                <w:highlight w:val="none"/>
              </w:rPr>
              <w:t>3838-2002）中</w:t>
            </w:r>
            <w:r>
              <w:rPr>
                <w:rFonts w:hint="eastAsia"/>
                <w:color w:val="auto"/>
                <w:kern w:val="0"/>
                <w:highlight w:val="none"/>
              </w:rPr>
              <w:t>Ⅲ</w:t>
            </w:r>
            <w:r>
              <w:rPr>
                <w:color w:val="auto"/>
                <w:kern w:val="0"/>
                <w:highlight w:val="none"/>
              </w:rPr>
              <w:t>类标准</w:t>
            </w:r>
            <w:r>
              <w:rPr>
                <w:rFonts w:hint="eastAsia"/>
                <w:color w:val="auto"/>
                <w:kern w:val="0"/>
                <w:highlight w:val="none"/>
              </w:rPr>
              <w:t>。</w:t>
            </w:r>
          </w:p>
          <w:p w14:paraId="67005CB5">
            <w:pPr>
              <w:adjustRightInd w:val="0"/>
              <w:snapToGrid w:val="0"/>
              <w:spacing w:line="480" w:lineRule="exact"/>
              <w:ind w:firstLine="0" w:firstLineChars="0"/>
              <w:jc w:val="center"/>
              <w:rPr>
                <w:b/>
                <w:color w:val="auto"/>
                <w:kern w:val="0"/>
                <w:highlight w:val="none"/>
              </w:rPr>
            </w:pPr>
            <w:r>
              <w:rPr>
                <w:b/>
                <w:color w:val="auto"/>
                <w:kern w:val="0"/>
                <w:highlight w:val="none"/>
              </w:rPr>
              <w:t>表3-</w:t>
            </w:r>
            <w:r>
              <w:rPr>
                <w:rFonts w:hint="eastAsia"/>
                <w:b/>
                <w:color w:val="auto"/>
                <w:kern w:val="0"/>
                <w:highlight w:val="none"/>
                <w:lang w:val="en-US" w:eastAsia="zh-CN"/>
              </w:rPr>
              <w:t>6</w:t>
            </w:r>
            <w:r>
              <w:rPr>
                <w:b/>
                <w:color w:val="auto"/>
                <w:kern w:val="0"/>
                <w:highlight w:val="none"/>
              </w:rPr>
              <w:t>地表水环境质量标准</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577"/>
              <w:gridCol w:w="1210"/>
              <w:gridCol w:w="1668"/>
              <w:gridCol w:w="2351"/>
            </w:tblGrid>
            <w:tr w14:paraId="380D6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5" w:type="pct"/>
                  <w:vAlign w:val="center"/>
                </w:tcPr>
                <w:p w14:paraId="15F4C70F">
                  <w:pPr>
                    <w:pStyle w:val="28"/>
                    <w:rPr>
                      <w:rFonts w:hint="default"/>
                      <w:color w:val="auto"/>
                      <w:highlight w:val="none"/>
                    </w:rPr>
                  </w:pPr>
                  <w:r>
                    <w:rPr>
                      <w:color w:val="auto"/>
                      <w:highlight w:val="none"/>
                    </w:rPr>
                    <w:t>序号</w:t>
                  </w:r>
                </w:p>
              </w:tc>
              <w:tc>
                <w:tcPr>
                  <w:tcW w:w="1044" w:type="pct"/>
                  <w:vAlign w:val="center"/>
                </w:tcPr>
                <w:p w14:paraId="530B9219">
                  <w:pPr>
                    <w:pStyle w:val="28"/>
                    <w:rPr>
                      <w:rFonts w:hint="default"/>
                      <w:color w:val="auto"/>
                      <w:highlight w:val="none"/>
                    </w:rPr>
                  </w:pPr>
                  <w:r>
                    <w:rPr>
                      <w:color w:val="auto"/>
                      <w:highlight w:val="none"/>
                    </w:rPr>
                    <w:t>参数</w:t>
                  </w:r>
                </w:p>
              </w:tc>
              <w:tc>
                <w:tcPr>
                  <w:tcW w:w="801" w:type="pct"/>
                  <w:vAlign w:val="center"/>
                </w:tcPr>
                <w:p w14:paraId="5A8D76A9">
                  <w:pPr>
                    <w:pStyle w:val="28"/>
                    <w:rPr>
                      <w:rFonts w:hint="default"/>
                      <w:color w:val="auto"/>
                      <w:highlight w:val="none"/>
                    </w:rPr>
                  </w:pPr>
                  <w:r>
                    <w:rPr>
                      <w:color w:val="auto"/>
                      <w:highlight w:val="none"/>
                    </w:rPr>
                    <w:t>单位</w:t>
                  </w:r>
                </w:p>
              </w:tc>
              <w:tc>
                <w:tcPr>
                  <w:tcW w:w="1104" w:type="pct"/>
                  <w:vAlign w:val="center"/>
                </w:tcPr>
                <w:p w14:paraId="4D34BA4F">
                  <w:pPr>
                    <w:pStyle w:val="28"/>
                    <w:rPr>
                      <w:rFonts w:hint="default"/>
                      <w:color w:val="auto"/>
                      <w:highlight w:val="none"/>
                    </w:rPr>
                  </w:pPr>
                  <w:r>
                    <w:rPr>
                      <w:color w:val="auto"/>
                      <w:highlight w:val="none"/>
                    </w:rPr>
                    <w:t>标准值</w:t>
                  </w:r>
                </w:p>
              </w:tc>
              <w:tc>
                <w:tcPr>
                  <w:tcW w:w="1556" w:type="pct"/>
                  <w:vAlign w:val="center"/>
                </w:tcPr>
                <w:p w14:paraId="71AD5879">
                  <w:pPr>
                    <w:pStyle w:val="28"/>
                    <w:rPr>
                      <w:rFonts w:hint="default"/>
                      <w:color w:val="auto"/>
                      <w:highlight w:val="none"/>
                    </w:rPr>
                  </w:pPr>
                  <w:r>
                    <w:rPr>
                      <w:color w:val="auto"/>
                      <w:highlight w:val="none"/>
                    </w:rPr>
                    <w:t>标准来源</w:t>
                  </w:r>
                </w:p>
              </w:tc>
            </w:tr>
            <w:tr w14:paraId="50DDD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50F89B29">
                  <w:pPr>
                    <w:pStyle w:val="28"/>
                    <w:rPr>
                      <w:rFonts w:hint="default"/>
                      <w:color w:val="auto"/>
                      <w:highlight w:val="none"/>
                    </w:rPr>
                  </w:pPr>
                  <w:r>
                    <w:rPr>
                      <w:color w:val="auto"/>
                      <w:highlight w:val="none"/>
                    </w:rPr>
                    <w:t>1</w:t>
                  </w:r>
                </w:p>
              </w:tc>
              <w:tc>
                <w:tcPr>
                  <w:tcW w:w="1044" w:type="pct"/>
                  <w:vAlign w:val="center"/>
                </w:tcPr>
                <w:p w14:paraId="628E4034">
                  <w:pPr>
                    <w:pStyle w:val="28"/>
                    <w:rPr>
                      <w:rFonts w:hint="default"/>
                      <w:color w:val="auto"/>
                      <w:highlight w:val="none"/>
                    </w:rPr>
                  </w:pPr>
                  <w:r>
                    <w:rPr>
                      <w:color w:val="auto"/>
                      <w:highlight w:val="none"/>
                    </w:rPr>
                    <w:t>pH</w:t>
                  </w:r>
                </w:p>
              </w:tc>
              <w:tc>
                <w:tcPr>
                  <w:tcW w:w="801" w:type="pct"/>
                  <w:vAlign w:val="center"/>
                </w:tcPr>
                <w:p w14:paraId="6CD40631">
                  <w:pPr>
                    <w:pStyle w:val="28"/>
                    <w:rPr>
                      <w:rFonts w:hint="default"/>
                      <w:color w:val="auto"/>
                      <w:highlight w:val="none"/>
                    </w:rPr>
                  </w:pPr>
                  <w:r>
                    <w:rPr>
                      <w:color w:val="auto"/>
                      <w:highlight w:val="none"/>
                    </w:rPr>
                    <w:t>无量纲</w:t>
                  </w:r>
                </w:p>
              </w:tc>
              <w:tc>
                <w:tcPr>
                  <w:tcW w:w="1104" w:type="pct"/>
                  <w:vAlign w:val="center"/>
                </w:tcPr>
                <w:p w14:paraId="3994ADFD">
                  <w:pPr>
                    <w:pStyle w:val="28"/>
                    <w:rPr>
                      <w:rFonts w:hint="default"/>
                      <w:color w:val="auto"/>
                      <w:highlight w:val="none"/>
                    </w:rPr>
                  </w:pPr>
                  <w:r>
                    <w:rPr>
                      <w:color w:val="auto"/>
                      <w:highlight w:val="none"/>
                    </w:rPr>
                    <w:t>6～9</w:t>
                  </w:r>
                </w:p>
              </w:tc>
              <w:tc>
                <w:tcPr>
                  <w:tcW w:w="1556" w:type="pct"/>
                  <w:vMerge w:val="restart"/>
                  <w:vAlign w:val="center"/>
                </w:tcPr>
                <w:p w14:paraId="62F8942C">
                  <w:pPr>
                    <w:pStyle w:val="28"/>
                    <w:spacing w:line="288" w:lineRule="auto"/>
                    <w:rPr>
                      <w:rFonts w:hint="default"/>
                      <w:color w:val="auto"/>
                      <w:highlight w:val="none"/>
                    </w:rPr>
                  </w:pPr>
                  <w:r>
                    <w:rPr>
                      <w:color w:val="auto"/>
                      <w:highlight w:val="none"/>
                    </w:rPr>
                    <w:t>《地表水环境质量标准》（GB 3838-2002）Ⅲ类标准</w:t>
                  </w:r>
                </w:p>
              </w:tc>
            </w:tr>
            <w:tr w14:paraId="7A6ED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78E4A9E8">
                  <w:pPr>
                    <w:pStyle w:val="28"/>
                    <w:rPr>
                      <w:rFonts w:hint="default"/>
                      <w:color w:val="auto"/>
                      <w:highlight w:val="none"/>
                    </w:rPr>
                  </w:pPr>
                  <w:r>
                    <w:rPr>
                      <w:color w:val="auto"/>
                      <w:highlight w:val="none"/>
                    </w:rPr>
                    <w:t>2</w:t>
                  </w:r>
                </w:p>
              </w:tc>
              <w:tc>
                <w:tcPr>
                  <w:tcW w:w="1044" w:type="pct"/>
                  <w:vAlign w:val="center"/>
                </w:tcPr>
                <w:p w14:paraId="11E5E6C4">
                  <w:pPr>
                    <w:pStyle w:val="28"/>
                    <w:rPr>
                      <w:rFonts w:hint="default"/>
                      <w:color w:val="auto"/>
                      <w:highlight w:val="none"/>
                    </w:rPr>
                  </w:pPr>
                  <w:r>
                    <w:rPr>
                      <w:color w:val="auto"/>
                      <w:highlight w:val="none"/>
                    </w:rPr>
                    <w:t>溶解氧</w:t>
                  </w:r>
                </w:p>
              </w:tc>
              <w:tc>
                <w:tcPr>
                  <w:tcW w:w="801" w:type="pct"/>
                  <w:vAlign w:val="center"/>
                </w:tcPr>
                <w:p w14:paraId="5ED556A2">
                  <w:pPr>
                    <w:pStyle w:val="28"/>
                    <w:rPr>
                      <w:rFonts w:hint="default"/>
                      <w:color w:val="auto"/>
                      <w:highlight w:val="none"/>
                    </w:rPr>
                  </w:pPr>
                  <w:r>
                    <w:rPr>
                      <w:color w:val="auto"/>
                      <w:highlight w:val="none"/>
                    </w:rPr>
                    <w:t>mg/L</w:t>
                  </w:r>
                </w:p>
              </w:tc>
              <w:tc>
                <w:tcPr>
                  <w:tcW w:w="1104" w:type="pct"/>
                  <w:vAlign w:val="center"/>
                </w:tcPr>
                <w:p w14:paraId="04AC6F7D">
                  <w:pPr>
                    <w:pStyle w:val="28"/>
                    <w:rPr>
                      <w:rFonts w:hint="default"/>
                      <w:color w:val="auto"/>
                      <w:highlight w:val="none"/>
                    </w:rPr>
                  </w:pPr>
                  <w:r>
                    <w:rPr>
                      <w:color w:val="auto"/>
                      <w:highlight w:val="none"/>
                    </w:rPr>
                    <w:t>≥5</w:t>
                  </w:r>
                </w:p>
              </w:tc>
              <w:tc>
                <w:tcPr>
                  <w:tcW w:w="1556" w:type="pct"/>
                  <w:vMerge w:val="continue"/>
                  <w:vAlign w:val="center"/>
                </w:tcPr>
                <w:p w14:paraId="29012372">
                  <w:pPr>
                    <w:pStyle w:val="28"/>
                    <w:rPr>
                      <w:rFonts w:hint="default"/>
                      <w:color w:val="auto"/>
                      <w:highlight w:val="none"/>
                    </w:rPr>
                  </w:pPr>
                </w:p>
              </w:tc>
            </w:tr>
            <w:tr w14:paraId="04018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769F620B">
                  <w:pPr>
                    <w:pStyle w:val="28"/>
                    <w:rPr>
                      <w:rFonts w:hint="default"/>
                      <w:color w:val="auto"/>
                      <w:highlight w:val="none"/>
                    </w:rPr>
                  </w:pPr>
                  <w:r>
                    <w:rPr>
                      <w:color w:val="auto"/>
                      <w:highlight w:val="none"/>
                    </w:rPr>
                    <w:t>3</w:t>
                  </w:r>
                </w:p>
              </w:tc>
              <w:tc>
                <w:tcPr>
                  <w:tcW w:w="1044" w:type="pct"/>
                  <w:vAlign w:val="center"/>
                </w:tcPr>
                <w:p w14:paraId="3E79F66D">
                  <w:pPr>
                    <w:pStyle w:val="28"/>
                    <w:rPr>
                      <w:rFonts w:hint="default"/>
                      <w:color w:val="auto"/>
                      <w:highlight w:val="none"/>
                    </w:rPr>
                  </w:pPr>
                  <w:r>
                    <w:rPr>
                      <w:color w:val="auto"/>
                      <w:highlight w:val="none"/>
                    </w:rPr>
                    <w:t>COD</w:t>
                  </w:r>
                </w:p>
              </w:tc>
              <w:tc>
                <w:tcPr>
                  <w:tcW w:w="801" w:type="pct"/>
                  <w:vAlign w:val="center"/>
                </w:tcPr>
                <w:p w14:paraId="1989C208">
                  <w:pPr>
                    <w:pStyle w:val="28"/>
                    <w:rPr>
                      <w:rFonts w:hint="default"/>
                      <w:color w:val="auto"/>
                      <w:highlight w:val="none"/>
                    </w:rPr>
                  </w:pPr>
                  <w:r>
                    <w:rPr>
                      <w:color w:val="auto"/>
                      <w:highlight w:val="none"/>
                    </w:rPr>
                    <w:t>mg/L</w:t>
                  </w:r>
                </w:p>
              </w:tc>
              <w:tc>
                <w:tcPr>
                  <w:tcW w:w="1104" w:type="pct"/>
                  <w:vAlign w:val="center"/>
                </w:tcPr>
                <w:p w14:paraId="578C198D">
                  <w:pPr>
                    <w:pStyle w:val="28"/>
                    <w:rPr>
                      <w:rFonts w:hint="default"/>
                      <w:color w:val="auto"/>
                      <w:highlight w:val="none"/>
                    </w:rPr>
                  </w:pPr>
                  <w:r>
                    <w:rPr>
                      <w:color w:val="auto"/>
                      <w:highlight w:val="none"/>
                    </w:rPr>
                    <w:t>≤20</w:t>
                  </w:r>
                </w:p>
              </w:tc>
              <w:tc>
                <w:tcPr>
                  <w:tcW w:w="1556" w:type="pct"/>
                  <w:vMerge w:val="continue"/>
                  <w:vAlign w:val="center"/>
                </w:tcPr>
                <w:p w14:paraId="69FD4350">
                  <w:pPr>
                    <w:pStyle w:val="28"/>
                    <w:rPr>
                      <w:rFonts w:hint="default"/>
                      <w:color w:val="auto"/>
                      <w:highlight w:val="none"/>
                    </w:rPr>
                  </w:pPr>
                </w:p>
              </w:tc>
            </w:tr>
            <w:tr w14:paraId="7AA44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1FD2F76B">
                  <w:pPr>
                    <w:pStyle w:val="28"/>
                    <w:rPr>
                      <w:rFonts w:hint="default"/>
                      <w:color w:val="auto"/>
                      <w:highlight w:val="none"/>
                    </w:rPr>
                  </w:pPr>
                  <w:r>
                    <w:rPr>
                      <w:color w:val="auto"/>
                      <w:highlight w:val="none"/>
                    </w:rPr>
                    <w:t>4</w:t>
                  </w:r>
                </w:p>
              </w:tc>
              <w:tc>
                <w:tcPr>
                  <w:tcW w:w="1044" w:type="pct"/>
                  <w:vAlign w:val="center"/>
                </w:tcPr>
                <w:p w14:paraId="1315E410">
                  <w:pPr>
                    <w:pStyle w:val="28"/>
                    <w:rPr>
                      <w:rFonts w:hint="default"/>
                      <w:color w:val="auto"/>
                      <w:highlight w:val="none"/>
                    </w:rPr>
                  </w:pPr>
                  <w:r>
                    <w:rPr>
                      <w:color w:val="auto"/>
                      <w:highlight w:val="none"/>
                    </w:rPr>
                    <w:t>BOD</w:t>
                  </w:r>
                  <w:r>
                    <w:rPr>
                      <w:color w:val="auto"/>
                      <w:highlight w:val="none"/>
                      <w:vertAlign w:val="subscript"/>
                    </w:rPr>
                    <w:t>5</w:t>
                  </w:r>
                </w:p>
              </w:tc>
              <w:tc>
                <w:tcPr>
                  <w:tcW w:w="801" w:type="pct"/>
                  <w:vAlign w:val="center"/>
                </w:tcPr>
                <w:p w14:paraId="7618D751">
                  <w:pPr>
                    <w:pStyle w:val="28"/>
                    <w:rPr>
                      <w:rFonts w:hint="default"/>
                      <w:color w:val="auto"/>
                      <w:highlight w:val="none"/>
                    </w:rPr>
                  </w:pPr>
                  <w:r>
                    <w:rPr>
                      <w:color w:val="auto"/>
                      <w:highlight w:val="none"/>
                    </w:rPr>
                    <w:t>mg/L</w:t>
                  </w:r>
                </w:p>
              </w:tc>
              <w:tc>
                <w:tcPr>
                  <w:tcW w:w="1104" w:type="pct"/>
                  <w:vAlign w:val="center"/>
                </w:tcPr>
                <w:p w14:paraId="414E2458">
                  <w:pPr>
                    <w:pStyle w:val="28"/>
                    <w:rPr>
                      <w:rFonts w:hint="default"/>
                      <w:color w:val="auto"/>
                      <w:highlight w:val="none"/>
                    </w:rPr>
                  </w:pPr>
                  <w:r>
                    <w:rPr>
                      <w:color w:val="auto"/>
                      <w:highlight w:val="none"/>
                    </w:rPr>
                    <w:t>≤4</w:t>
                  </w:r>
                </w:p>
              </w:tc>
              <w:tc>
                <w:tcPr>
                  <w:tcW w:w="1556" w:type="pct"/>
                  <w:vMerge w:val="continue"/>
                  <w:vAlign w:val="center"/>
                </w:tcPr>
                <w:p w14:paraId="79C0E61C">
                  <w:pPr>
                    <w:pStyle w:val="28"/>
                    <w:rPr>
                      <w:rFonts w:hint="default"/>
                      <w:color w:val="auto"/>
                      <w:highlight w:val="none"/>
                    </w:rPr>
                  </w:pPr>
                </w:p>
              </w:tc>
            </w:tr>
            <w:tr w14:paraId="561B2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79FC44B8">
                  <w:pPr>
                    <w:pStyle w:val="28"/>
                    <w:rPr>
                      <w:rFonts w:hint="default"/>
                      <w:color w:val="auto"/>
                      <w:highlight w:val="none"/>
                    </w:rPr>
                  </w:pPr>
                  <w:r>
                    <w:rPr>
                      <w:color w:val="auto"/>
                      <w:highlight w:val="none"/>
                    </w:rPr>
                    <w:t>5</w:t>
                  </w:r>
                </w:p>
              </w:tc>
              <w:tc>
                <w:tcPr>
                  <w:tcW w:w="1044" w:type="pct"/>
                  <w:vAlign w:val="center"/>
                </w:tcPr>
                <w:p w14:paraId="46E12462">
                  <w:pPr>
                    <w:pStyle w:val="28"/>
                    <w:rPr>
                      <w:rFonts w:hint="default"/>
                      <w:color w:val="auto"/>
                      <w:highlight w:val="none"/>
                    </w:rPr>
                  </w:pPr>
                  <w:r>
                    <w:rPr>
                      <w:color w:val="auto"/>
                      <w:highlight w:val="none"/>
                    </w:rPr>
                    <w:t>氨氮</w:t>
                  </w:r>
                </w:p>
              </w:tc>
              <w:tc>
                <w:tcPr>
                  <w:tcW w:w="801" w:type="pct"/>
                  <w:vAlign w:val="center"/>
                </w:tcPr>
                <w:p w14:paraId="590CDB17">
                  <w:pPr>
                    <w:pStyle w:val="28"/>
                    <w:rPr>
                      <w:rFonts w:hint="default"/>
                      <w:color w:val="auto"/>
                      <w:highlight w:val="none"/>
                    </w:rPr>
                  </w:pPr>
                  <w:r>
                    <w:rPr>
                      <w:color w:val="auto"/>
                      <w:highlight w:val="none"/>
                    </w:rPr>
                    <w:t>mg/L</w:t>
                  </w:r>
                </w:p>
              </w:tc>
              <w:tc>
                <w:tcPr>
                  <w:tcW w:w="1104" w:type="pct"/>
                  <w:vAlign w:val="center"/>
                </w:tcPr>
                <w:p w14:paraId="2941C52E">
                  <w:pPr>
                    <w:pStyle w:val="28"/>
                    <w:rPr>
                      <w:rFonts w:hint="default"/>
                      <w:color w:val="auto"/>
                      <w:highlight w:val="none"/>
                    </w:rPr>
                  </w:pPr>
                  <w:r>
                    <w:rPr>
                      <w:color w:val="auto"/>
                      <w:highlight w:val="none"/>
                    </w:rPr>
                    <w:t>≤1.0</w:t>
                  </w:r>
                </w:p>
              </w:tc>
              <w:tc>
                <w:tcPr>
                  <w:tcW w:w="1556" w:type="pct"/>
                  <w:vMerge w:val="continue"/>
                  <w:vAlign w:val="center"/>
                </w:tcPr>
                <w:p w14:paraId="6D725952">
                  <w:pPr>
                    <w:pStyle w:val="28"/>
                    <w:rPr>
                      <w:rFonts w:hint="default"/>
                      <w:color w:val="auto"/>
                      <w:highlight w:val="none"/>
                    </w:rPr>
                  </w:pPr>
                </w:p>
              </w:tc>
            </w:tr>
            <w:tr w14:paraId="5BF7E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6CC7983A">
                  <w:pPr>
                    <w:pStyle w:val="28"/>
                    <w:rPr>
                      <w:rFonts w:hint="default"/>
                      <w:color w:val="auto"/>
                      <w:highlight w:val="none"/>
                    </w:rPr>
                  </w:pPr>
                  <w:r>
                    <w:rPr>
                      <w:color w:val="auto"/>
                      <w:highlight w:val="none"/>
                    </w:rPr>
                    <w:t>6</w:t>
                  </w:r>
                </w:p>
              </w:tc>
              <w:tc>
                <w:tcPr>
                  <w:tcW w:w="1044" w:type="pct"/>
                  <w:vAlign w:val="center"/>
                </w:tcPr>
                <w:p w14:paraId="7898BF0F">
                  <w:pPr>
                    <w:pStyle w:val="28"/>
                    <w:rPr>
                      <w:rFonts w:hint="default"/>
                      <w:color w:val="auto"/>
                      <w:highlight w:val="none"/>
                    </w:rPr>
                  </w:pPr>
                  <w:r>
                    <w:rPr>
                      <w:color w:val="auto"/>
                      <w:highlight w:val="none"/>
                    </w:rPr>
                    <w:t>总磷</w:t>
                  </w:r>
                </w:p>
              </w:tc>
              <w:tc>
                <w:tcPr>
                  <w:tcW w:w="801" w:type="pct"/>
                  <w:vAlign w:val="center"/>
                </w:tcPr>
                <w:p w14:paraId="657C8EA6">
                  <w:pPr>
                    <w:pStyle w:val="28"/>
                    <w:rPr>
                      <w:rFonts w:hint="default"/>
                      <w:color w:val="auto"/>
                      <w:highlight w:val="none"/>
                    </w:rPr>
                  </w:pPr>
                  <w:r>
                    <w:rPr>
                      <w:color w:val="auto"/>
                      <w:highlight w:val="none"/>
                    </w:rPr>
                    <w:t>mg/L</w:t>
                  </w:r>
                </w:p>
              </w:tc>
              <w:tc>
                <w:tcPr>
                  <w:tcW w:w="1104" w:type="pct"/>
                  <w:vAlign w:val="center"/>
                </w:tcPr>
                <w:p w14:paraId="372D02EA">
                  <w:pPr>
                    <w:pStyle w:val="28"/>
                    <w:rPr>
                      <w:rFonts w:hint="default"/>
                      <w:color w:val="auto"/>
                      <w:highlight w:val="none"/>
                    </w:rPr>
                  </w:pPr>
                  <w:r>
                    <w:rPr>
                      <w:color w:val="auto"/>
                      <w:highlight w:val="none"/>
                    </w:rPr>
                    <w:t>≤0.2</w:t>
                  </w:r>
                </w:p>
              </w:tc>
              <w:tc>
                <w:tcPr>
                  <w:tcW w:w="1556" w:type="pct"/>
                  <w:vMerge w:val="continue"/>
                  <w:vAlign w:val="center"/>
                </w:tcPr>
                <w:p w14:paraId="07B64A76">
                  <w:pPr>
                    <w:pStyle w:val="28"/>
                    <w:rPr>
                      <w:rFonts w:hint="default"/>
                      <w:color w:val="auto"/>
                      <w:highlight w:val="none"/>
                    </w:rPr>
                  </w:pPr>
                </w:p>
              </w:tc>
            </w:tr>
          </w:tbl>
          <w:p w14:paraId="1BB9B9C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kern w:val="0"/>
                <w:highlight w:val="none"/>
              </w:rPr>
            </w:pPr>
            <w:r>
              <w:rPr>
                <w:rFonts w:hint="eastAsia"/>
                <w:color w:val="auto"/>
                <w:kern w:val="0"/>
                <w:highlight w:val="none"/>
              </w:rPr>
              <w:t>（3）</w:t>
            </w:r>
            <w:r>
              <w:rPr>
                <w:color w:val="auto"/>
                <w:kern w:val="0"/>
                <w:highlight w:val="none"/>
              </w:rPr>
              <w:t>声环境</w:t>
            </w:r>
          </w:p>
          <w:p w14:paraId="0CCB1129">
            <w:pPr>
              <w:keepNext w:val="0"/>
              <w:keepLines w:val="0"/>
              <w:pageBreakBefore w:val="0"/>
              <w:widowControl w:val="0"/>
              <w:kinsoku/>
              <w:wordWrap/>
              <w:overflowPunct/>
              <w:topLinePunct w:val="0"/>
              <w:autoSpaceDE/>
              <w:autoSpaceDN/>
              <w:bidi w:val="0"/>
              <w:spacing w:line="360" w:lineRule="auto"/>
              <w:textAlignment w:val="auto"/>
              <w:rPr>
                <w:color w:val="auto"/>
                <w:highlight w:val="none"/>
              </w:rPr>
            </w:pPr>
            <w:r>
              <w:rPr>
                <w:rFonts w:hint="eastAsia"/>
                <w:color w:val="auto"/>
                <w:highlight w:val="none"/>
              </w:rPr>
              <w:t>本项目</w:t>
            </w:r>
            <w:r>
              <w:rPr>
                <w:color w:val="auto"/>
                <w:highlight w:val="none"/>
              </w:rPr>
              <w:t>所在区域</w:t>
            </w:r>
            <w:r>
              <w:rPr>
                <w:rFonts w:hint="eastAsia"/>
                <w:color w:val="auto"/>
                <w:highlight w:val="none"/>
              </w:rPr>
              <w:t>敏感点声环境现状执行《声环境质量标准》（GB3096-2008）中2类标准；运营期公路</w:t>
            </w:r>
            <w:r>
              <w:rPr>
                <w:rFonts w:hint="eastAsia"/>
                <w:color w:val="auto"/>
                <w:highlight w:val="none"/>
                <w:lang w:val="en-US" w:eastAsia="zh-CN"/>
              </w:rPr>
              <w:t>评价</w:t>
            </w:r>
            <w:r>
              <w:rPr>
                <w:rFonts w:hint="eastAsia"/>
                <w:color w:val="auto"/>
                <w:highlight w:val="none"/>
              </w:rPr>
              <w:t>区域执行《声环境质量标准》(GB3096-2008)中2类标准。</w:t>
            </w:r>
          </w:p>
          <w:p w14:paraId="622BFEB9">
            <w:pPr>
              <w:pStyle w:val="27"/>
              <w:spacing w:line="24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eastAsia"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声环境质量标准</w:t>
            </w:r>
          </w:p>
          <w:tbl>
            <w:tblPr>
              <w:tblStyle w:val="1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08"/>
              <w:gridCol w:w="1208"/>
              <w:gridCol w:w="1208"/>
              <w:gridCol w:w="3927"/>
            </w:tblGrid>
            <w:tr w14:paraId="273E42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0" w:type="pct"/>
                  <w:noWrap w:val="0"/>
                  <w:vAlign w:val="center"/>
                </w:tcPr>
                <w:p w14:paraId="5BDBC4D1">
                  <w:pPr>
                    <w:pStyle w:val="2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类别</w:t>
                  </w:r>
                </w:p>
              </w:tc>
              <w:tc>
                <w:tcPr>
                  <w:tcW w:w="800" w:type="pct"/>
                  <w:tcBorders>
                    <w:right w:val="single" w:color="auto" w:sz="4" w:space="0"/>
                  </w:tcBorders>
                  <w:noWrap w:val="0"/>
                  <w:vAlign w:val="center"/>
                </w:tcPr>
                <w:p w14:paraId="43EBD064">
                  <w:pPr>
                    <w:pStyle w:val="2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昼间</w:t>
                  </w:r>
                </w:p>
              </w:tc>
              <w:tc>
                <w:tcPr>
                  <w:tcW w:w="800" w:type="pct"/>
                  <w:tcBorders>
                    <w:left w:val="single" w:color="auto" w:sz="4" w:space="0"/>
                  </w:tcBorders>
                  <w:noWrap w:val="0"/>
                  <w:vAlign w:val="center"/>
                </w:tcPr>
                <w:p w14:paraId="280CB987">
                  <w:pPr>
                    <w:pStyle w:val="2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夜间</w:t>
                  </w:r>
                </w:p>
              </w:tc>
              <w:tc>
                <w:tcPr>
                  <w:tcW w:w="2599" w:type="pct"/>
                  <w:noWrap w:val="0"/>
                  <w:vAlign w:val="center"/>
                </w:tcPr>
                <w:p w14:paraId="0556A616">
                  <w:pPr>
                    <w:pStyle w:val="2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标准来源</w:t>
                  </w:r>
                </w:p>
              </w:tc>
            </w:tr>
            <w:tr w14:paraId="31665D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0" w:type="pct"/>
                  <w:noWrap w:val="0"/>
                  <w:vAlign w:val="center"/>
                </w:tcPr>
                <w:p w14:paraId="7B40353C">
                  <w:pPr>
                    <w:pStyle w:val="28"/>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类</w:t>
                  </w:r>
                </w:p>
              </w:tc>
              <w:tc>
                <w:tcPr>
                  <w:tcW w:w="800" w:type="pct"/>
                  <w:tcBorders>
                    <w:right w:val="single" w:color="auto" w:sz="4" w:space="0"/>
                  </w:tcBorders>
                  <w:noWrap w:val="0"/>
                  <w:vAlign w:val="center"/>
                </w:tcPr>
                <w:p w14:paraId="0559E475">
                  <w:pPr>
                    <w:pStyle w:val="28"/>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60</w:t>
                  </w:r>
                </w:p>
              </w:tc>
              <w:tc>
                <w:tcPr>
                  <w:tcW w:w="800" w:type="pct"/>
                  <w:tcBorders>
                    <w:left w:val="single" w:color="auto" w:sz="4" w:space="0"/>
                  </w:tcBorders>
                  <w:noWrap w:val="0"/>
                  <w:vAlign w:val="center"/>
                </w:tcPr>
                <w:p w14:paraId="7DB58AA1">
                  <w:pPr>
                    <w:pStyle w:val="28"/>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c>
                <w:tcPr>
                  <w:tcW w:w="2599" w:type="pct"/>
                  <w:noWrap w:val="0"/>
                  <w:vAlign w:val="center"/>
                </w:tcPr>
                <w:p w14:paraId="3234AFCF">
                  <w:pPr>
                    <w:pStyle w:val="2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《声环境质量标准》（GB</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3096-2008）</w:t>
                  </w:r>
                </w:p>
              </w:tc>
            </w:tr>
          </w:tbl>
          <w:p w14:paraId="7A8E8CBC">
            <w:pPr>
              <w:adjustRightInd w:val="0"/>
              <w:snapToGrid w:val="0"/>
              <w:spacing w:line="480" w:lineRule="exact"/>
              <w:ind w:firstLine="482"/>
              <w:rPr>
                <w:b/>
                <w:color w:val="auto"/>
                <w:kern w:val="0"/>
                <w:highlight w:val="none"/>
              </w:rPr>
            </w:pPr>
            <w:r>
              <w:rPr>
                <w:rFonts w:hint="eastAsia"/>
                <w:b/>
                <w:color w:val="auto"/>
                <w:kern w:val="0"/>
                <w:highlight w:val="none"/>
              </w:rPr>
              <w:t>2、</w:t>
            </w:r>
            <w:r>
              <w:rPr>
                <w:b/>
                <w:color w:val="auto"/>
                <w:kern w:val="0"/>
                <w:highlight w:val="none"/>
              </w:rPr>
              <w:t>污染物排放标准</w:t>
            </w:r>
          </w:p>
          <w:p w14:paraId="6962CD23">
            <w:pPr>
              <w:adjustRightInd w:val="0"/>
              <w:snapToGrid w:val="0"/>
              <w:spacing w:line="480" w:lineRule="exact"/>
              <w:ind w:firstLine="480"/>
              <w:rPr>
                <w:color w:val="auto"/>
                <w:kern w:val="0"/>
                <w:highlight w:val="none"/>
              </w:rPr>
            </w:pPr>
            <w:r>
              <w:rPr>
                <w:rFonts w:hint="eastAsia"/>
                <w:color w:val="auto"/>
                <w:kern w:val="0"/>
                <w:highlight w:val="none"/>
              </w:rPr>
              <w:t>（1）废气</w:t>
            </w:r>
          </w:p>
          <w:p w14:paraId="0815F30A">
            <w:pPr>
              <w:adjustRightInd w:val="0"/>
              <w:snapToGrid w:val="0"/>
              <w:spacing w:line="480" w:lineRule="exact"/>
              <w:ind w:firstLine="480"/>
              <w:rPr>
                <w:color w:val="auto"/>
                <w:kern w:val="0"/>
                <w:highlight w:val="none"/>
              </w:rPr>
            </w:pPr>
            <w:r>
              <w:rPr>
                <w:color w:val="auto"/>
                <w:kern w:val="0"/>
                <w:highlight w:val="none"/>
              </w:rPr>
              <w:t>施工期大气污染物执行《大气污染物综合排放标准》</w:t>
            </w:r>
            <w:r>
              <w:rPr>
                <w:rFonts w:hint="eastAsia"/>
                <w:color w:val="auto"/>
                <w:kern w:val="0"/>
                <w:highlight w:val="none"/>
              </w:rPr>
              <w:t>（</w:t>
            </w:r>
            <w:r>
              <w:rPr>
                <w:color w:val="auto"/>
                <w:kern w:val="0"/>
                <w:highlight w:val="none"/>
              </w:rPr>
              <w:t>GB</w:t>
            </w:r>
            <w:r>
              <w:rPr>
                <w:rFonts w:hint="eastAsia"/>
                <w:color w:val="auto"/>
                <w:kern w:val="0"/>
                <w:highlight w:val="none"/>
              </w:rPr>
              <w:t xml:space="preserve"> </w:t>
            </w:r>
            <w:r>
              <w:rPr>
                <w:color w:val="auto"/>
                <w:kern w:val="0"/>
                <w:highlight w:val="none"/>
              </w:rPr>
              <w:t>16297-1996</w:t>
            </w:r>
            <w:r>
              <w:rPr>
                <w:rFonts w:hint="eastAsia"/>
                <w:color w:val="auto"/>
                <w:kern w:val="0"/>
                <w:highlight w:val="none"/>
              </w:rPr>
              <w:t>）</w:t>
            </w:r>
            <w:r>
              <w:rPr>
                <w:color w:val="auto"/>
                <w:kern w:val="0"/>
                <w:highlight w:val="none"/>
              </w:rPr>
              <w:t>中表2无组织排放监控浓度限值</w:t>
            </w:r>
            <w:r>
              <w:rPr>
                <w:rFonts w:hint="eastAsia"/>
                <w:color w:val="auto"/>
                <w:kern w:val="0"/>
                <w:highlight w:val="none"/>
              </w:rPr>
              <w:t xml:space="preserve">。 </w:t>
            </w:r>
          </w:p>
          <w:p w14:paraId="5EF94B39">
            <w:pPr>
              <w:adjustRightInd w:val="0"/>
              <w:spacing w:line="480" w:lineRule="exact"/>
              <w:ind w:firstLine="0" w:firstLineChars="0"/>
              <w:jc w:val="center"/>
              <w:rPr>
                <w:rFonts w:hint="default" w:eastAsia="宋体"/>
                <w:b/>
                <w:color w:val="auto"/>
                <w:kern w:val="0"/>
                <w:highlight w:val="none"/>
                <w:lang w:val="en-US" w:eastAsia="zh-CN"/>
              </w:rPr>
            </w:pPr>
            <w:r>
              <w:rPr>
                <w:b/>
                <w:color w:val="auto"/>
                <w:kern w:val="0"/>
                <w:highlight w:val="none"/>
              </w:rPr>
              <w:t>表3-</w:t>
            </w:r>
            <w:r>
              <w:rPr>
                <w:rFonts w:hint="eastAsia"/>
                <w:b/>
                <w:color w:val="auto"/>
                <w:kern w:val="0"/>
                <w:highlight w:val="none"/>
                <w:lang w:val="en-US" w:eastAsia="zh-CN"/>
              </w:rPr>
              <w:t>8施工期废气排放标准 单位：mg/m</w:t>
            </w:r>
            <w:r>
              <w:rPr>
                <w:rFonts w:hint="eastAsia"/>
                <w:b/>
                <w:color w:val="auto"/>
                <w:kern w:val="0"/>
                <w:highlight w:val="none"/>
                <w:vertAlign w:val="superscript"/>
                <w:lang w:val="en-US" w:eastAsia="zh-CN"/>
              </w:rPr>
              <w:t>3</w:t>
            </w:r>
          </w:p>
          <w:tbl>
            <w:tblPr>
              <w:tblStyle w:val="16"/>
              <w:tblW w:w="754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85"/>
              <w:gridCol w:w="2850"/>
              <w:gridCol w:w="1405"/>
            </w:tblGrid>
            <w:tr w14:paraId="2CEC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85" w:type="dxa"/>
                  <w:tcBorders>
                    <w:tl2br w:val="nil"/>
                    <w:tr2bl w:val="nil"/>
                  </w:tcBorders>
                  <w:vAlign w:val="center"/>
                </w:tcPr>
                <w:p w14:paraId="7A5DE0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标准</w:t>
                  </w:r>
                </w:p>
              </w:tc>
              <w:tc>
                <w:tcPr>
                  <w:tcW w:w="2850" w:type="dxa"/>
                  <w:tcBorders>
                    <w:tl2br w:val="nil"/>
                    <w:tr2bl w:val="nil"/>
                  </w:tcBorders>
                  <w:vAlign w:val="center"/>
                </w:tcPr>
                <w:p w14:paraId="068930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污染物</w:t>
                  </w:r>
                </w:p>
              </w:tc>
              <w:tc>
                <w:tcPr>
                  <w:tcW w:w="1405" w:type="dxa"/>
                  <w:tcBorders>
                    <w:tl2br w:val="nil"/>
                    <w:tr2bl w:val="nil"/>
                  </w:tcBorders>
                  <w:vAlign w:val="center"/>
                </w:tcPr>
                <w:p w14:paraId="0AB877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限值</w:t>
                  </w:r>
                </w:p>
              </w:tc>
            </w:tr>
            <w:tr w14:paraId="73024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85" w:type="dxa"/>
                  <w:tcBorders>
                    <w:tl2br w:val="nil"/>
                    <w:tr2bl w:val="nil"/>
                  </w:tcBorders>
                  <w:vAlign w:val="center"/>
                </w:tcPr>
                <w:p w14:paraId="13FB09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《大气污染物综合排放标准》（GB 16297-1996）中表2无组织排放监控浓度限值</w:t>
                  </w:r>
                </w:p>
              </w:tc>
              <w:tc>
                <w:tcPr>
                  <w:tcW w:w="2850" w:type="dxa"/>
                  <w:tcBorders>
                    <w:tl2br w:val="nil"/>
                    <w:tr2bl w:val="nil"/>
                  </w:tcBorders>
                  <w:vAlign w:val="center"/>
                </w:tcPr>
                <w:p w14:paraId="35BA8B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颗粒物</w:t>
                  </w:r>
                </w:p>
              </w:tc>
              <w:tc>
                <w:tcPr>
                  <w:tcW w:w="1405" w:type="dxa"/>
                  <w:tcBorders>
                    <w:tl2br w:val="nil"/>
                    <w:tr2bl w:val="nil"/>
                  </w:tcBorders>
                  <w:vAlign w:val="center"/>
                </w:tcPr>
                <w:p w14:paraId="11ACC8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1.0</w:t>
                  </w:r>
                </w:p>
              </w:tc>
            </w:tr>
          </w:tbl>
          <w:p w14:paraId="43FC7AC3">
            <w:pPr>
              <w:adjustRightInd w:val="0"/>
              <w:snapToGrid w:val="0"/>
              <w:spacing w:line="480" w:lineRule="exact"/>
              <w:ind w:firstLine="480"/>
              <w:rPr>
                <w:color w:val="auto"/>
                <w:kern w:val="0"/>
                <w:highlight w:val="none"/>
              </w:rPr>
            </w:pPr>
            <w:r>
              <w:rPr>
                <w:rFonts w:hint="eastAsia"/>
                <w:color w:val="auto"/>
                <w:kern w:val="0"/>
                <w:highlight w:val="none"/>
              </w:rPr>
              <w:t>（</w:t>
            </w:r>
            <w:r>
              <w:rPr>
                <w:rFonts w:hint="eastAsia"/>
                <w:color w:val="auto"/>
                <w:kern w:val="0"/>
                <w:highlight w:val="none"/>
                <w:lang w:val="en-US" w:eastAsia="zh-CN"/>
              </w:rPr>
              <w:t>2</w:t>
            </w:r>
            <w:r>
              <w:rPr>
                <w:rFonts w:hint="eastAsia"/>
                <w:color w:val="auto"/>
                <w:kern w:val="0"/>
                <w:highlight w:val="none"/>
              </w:rPr>
              <w:t>）</w:t>
            </w:r>
            <w:r>
              <w:rPr>
                <w:color w:val="auto"/>
                <w:kern w:val="0"/>
                <w:highlight w:val="none"/>
              </w:rPr>
              <w:t>噪声</w:t>
            </w:r>
          </w:p>
          <w:p w14:paraId="3F06A69A">
            <w:pPr>
              <w:adjustRightInd w:val="0"/>
              <w:snapToGrid w:val="0"/>
              <w:spacing w:line="480" w:lineRule="exact"/>
              <w:ind w:firstLine="480"/>
              <w:rPr>
                <w:color w:val="auto"/>
                <w:kern w:val="0"/>
                <w:highlight w:val="none"/>
              </w:rPr>
            </w:pPr>
            <w:r>
              <w:rPr>
                <w:color w:val="auto"/>
                <w:kern w:val="0"/>
                <w:highlight w:val="none"/>
              </w:rPr>
              <w:t>施工期</w:t>
            </w:r>
            <w:r>
              <w:rPr>
                <w:rFonts w:hint="eastAsia"/>
                <w:color w:val="auto"/>
                <w:kern w:val="0"/>
                <w:highlight w:val="none"/>
              </w:rPr>
              <w:t>噪声</w:t>
            </w:r>
            <w:r>
              <w:rPr>
                <w:color w:val="auto"/>
                <w:kern w:val="0"/>
                <w:highlight w:val="none"/>
              </w:rPr>
              <w:t>执行《建筑施工场界环境噪声排放标准》（GB</w:t>
            </w:r>
            <w:r>
              <w:rPr>
                <w:rFonts w:hint="eastAsia"/>
                <w:color w:val="auto"/>
                <w:kern w:val="0"/>
                <w:highlight w:val="none"/>
              </w:rPr>
              <w:t xml:space="preserve"> </w:t>
            </w:r>
            <w:r>
              <w:rPr>
                <w:color w:val="auto"/>
                <w:kern w:val="0"/>
                <w:highlight w:val="none"/>
              </w:rPr>
              <w:t>12523-2011）</w:t>
            </w:r>
            <w:r>
              <w:rPr>
                <w:rFonts w:hint="eastAsia"/>
                <w:color w:val="auto"/>
                <w:kern w:val="0"/>
                <w:highlight w:val="none"/>
              </w:rPr>
              <w:t>。</w:t>
            </w:r>
          </w:p>
          <w:p w14:paraId="096BA78C">
            <w:pPr>
              <w:adjustRightInd w:val="0"/>
              <w:spacing w:line="480" w:lineRule="exact"/>
              <w:ind w:firstLine="0" w:firstLineChars="0"/>
              <w:jc w:val="center"/>
              <w:rPr>
                <w:b/>
                <w:color w:val="auto"/>
                <w:kern w:val="0"/>
                <w:highlight w:val="none"/>
              </w:rPr>
            </w:pPr>
            <w:r>
              <w:rPr>
                <w:b/>
                <w:color w:val="auto"/>
                <w:kern w:val="0"/>
                <w:highlight w:val="none"/>
              </w:rPr>
              <w:t>表3-</w:t>
            </w:r>
            <w:r>
              <w:rPr>
                <w:rFonts w:hint="eastAsia"/>
                <w:b/>
                <w:color w:val="auto"/>
                <w:kern w:val="0"/>
                <w:highlight w:val="none"/>
                <w:lang w:val="en-US" w:eastAsia="zh-CN"/>
              </w:rPr>
              <w:t>9</w:t>
            </w:r>
            <w:r>
              <w:rPr>
                <w:b/>
                <w:color w:val="auto"/>
                <w:kern w:val="0"/>
                <w:highlight w:val="none"/>
              </w:rPr>
              <w:t>建筑施工场界环境噪声排放标准（单位：dB（A））</w:t>
            </w:r>
          </w:p>
          <w:tbl>
            <w:tblPr>
              <w:tblStyle w:val="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77"/>
              <w:gridCol w:w="3777"/>
            </w:tblGrid>
            <w:tr w14:paraId="5F0FE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vAlign w:val="center"/>
                </w:tcPr>
                <w:p w14:paraId="150C998E">
                  <w:pPr>
                    <w:pStyle w:val="28"/>
                    <w:rPr>
                      <w:rFonts w:hint="default"/>
                      <w:color w:val="auto"/>
                      <w:highlight w:val="none"/>
                    </w:rPr>
                  </w:pPr>
                  <w:r>
                    <w:rPr>
                      <w:color w:val="auto"/>
                      <w:highlight w:val="none"/>
                    </w:rPr>
                    <w:t>昼间</w:t>
                  </w:r>
                </w:p>
              </w:tc>
              <w:tc>
                <w:tcPr>
                  <w:tcW w:w="2500" w:type="pct"/>
                  <w:vAlign w:val="center"/>
                </w:tcPr>
                <w:p w14:paraId="329574D1">
                  <w:pPr>
                    <w:pStyle w:val="28"/>
                    <w:rPr>
                      <w:rFonts w:hint="default"/>
                      <w:color w:val="auto"/>
                      <w:highlight w:val="none"/>
                    </w:rPr>
                  </w:pPr>
                  <w:r>
                    <w:rPr>
                      <w:color w:val="auto"/>
                      <w:highlight w:val="none"/>
                    </w:rPr>
                    <w:t>夜间</w:t>
                  </w:r>
                </w:p>
              </w:tc>
            </w:tr>
            <w:tr w14:paraId="40908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vAlign w:val="center"/>
                </w:tcPr>
                <w:p w14:paraId="766F6DE1">
                  <w:pPr>
                    <w:pStyle w:val="28"/>
                    <w:rPr>
                      <w:rFonts w:hint="default"/>
                      <w:color w:val="auto"/>
                      <w:highlight w:val="none"/>
                    </w:rPr>
                  </w:pPr>
                  <w:r>
                    <w:rPr>
                      <w:color w:val="auto"/>
                      <w:highlight w:val="none"/>
                    </w:rPr>
                    <w:t>70</w:t>
                  </w:r>
                </w:p>
              </w:tc>
              <w:tc>
                <w:tcPr>
                  <w:tcW w:w="2500" w:type="pct"/>
                  <w:vAlign w:val="center"/>
                </w:tcPr>
                <w:p w14:paraId="19DEEC9E">
                  <w:pPr>
                    <w:pStyle w:val="28"/>
                    <w:rPr>
                      <w:rFonts w:hint="default"/>
                      <w:color w:val="auto"/>
                      <w:highlight w:val="none"/>
                    </w:rPr>
                  </w:pPr>
                  <w:r>
                    <w:rPr>
                      <w:color w:val="auto"/>
                      <w:highlight w:val="none"/>
                    </w:rPr>
                    <w:t>55</w:t>
                  </w:r>
                </w:p>
              </w:tc>
            </w:tr>
          </w:tbl>
          <w:p w14:paraId="7E49EA69">
            <w:pPr>
              <w:adjustRightInd w:val="0"/>
              <w:snapToGrid w:val="0"/>
              <w:spacing w:line="480" w:lineRule="exact"/>
              <w:ind w:firstLine="480"/>
              <w:rPr>
                <w:color w:val="auto"/>
                <w:kern w:val="0"/>
                <w:highlight w:val="none"/>
              </w:rPr>
            </w:pPr>
            <w:r>
              <w:rPr>
                <w:rFonts w:hint="eastAsia"/>
                <w:color w:val="auto"/>
                <w:kern w:val="0"/>
                <w:highlight w:val="none"/>
              </w:rPr>
              <w:t>（</w:t>
            </w:r>
            <w:r>
              <w:rPr>
                <w:rFonts w:hint="eastAsia"/>
                <w:color w:val="auto"/>
                <w:kern w:val="0"/>
                <w:highlight w:val="none"/>
                <w:lang w:val="en-US" w:eastAsia="zh-CN"/>
              </w:rPr>
              <w:t>3</w:t>
            </w:r>
            <w:r>
              <w:rPr>
                <w:rFonts w:hint="eastAsia"/>
                <w:color w:val="auto"/>
                <w:kern w:val="0"/>
                <w:highlight w:val="none"/>
              </w:rPr>
              <w:t>）固体废物</w:t>
            </w:r>
          </w:p>
          <w:p w14:paraId="09749D0B">
            <w:pPr>
              <w:adjustRightInd w:val="0"/>
              <w:snapToGrid w:val="0"/>
              <w:spacing w:line="480" w:lineRule="exact"/>
              <w:ind w:firstLine="480"/>
              <w:rPr>
                <w:b/>
                <w:color w:val="auto"/>
                <w:kern w:val="0"/>
                <w:highlight w:val="none"/>
              </w:rPr>
            </w:pPr>
            <w:r>
              <w:rPr>
                <w:color w:val="auto"/>
                <w:kern w:val="0"/>
                <w:highlight w:val="none"/>
              </w:rPr>
              <w:t>本项目一般固体废物贮存、处置执行《一般工业固体废物贮存和填埋污染控制标准》（GB18599-2020）</w:t>
            </w:r>
            <w:r>
              <w:rPr>
                <w:rFonts w:hint="eastAsia"/>
                <w:color w:val="auto"/>
                <w:kern w:val="0"/>
                <w:highlight w:val="none"/>
                <w:lang w:eastAsia="zh-CN"/>
              </w:rPr>
              <w:t>和</w:t>
            </w:r>
            <w:r>
              <w:rPr>
                <w:color w:val="auto"/>
                <w:sz w:val="24"/>
                <w:highlight w:val="none"/>
              </w:rPr>
              <w:t>《一般固体废物分类</w:t>
            </w:r>
            <w:r>
              <w:rPr>
                <w:rFonts w:hint="eastAsia"/>
                <w:color w:val="auto"/>
                <w:sz w:val="24"/>
                <w:highlight w:val="none"/>
                <w:lang w:val="en-US" w:eastAsia="zh-CN"/>
              </w:rPr>
              <w:t>与</w:t>
            </w:r>
            <w:r>
              <w:rPr>
                <w:color w:val="auto"/>
                <w:sz w:val="24"/>
                <w:highlight w:val="none"/>
              </w:rPr>
              <w:t>代码》（GB/T39198-2020）</w:t>
            </w:r>
            <w:r>
              <w:rPr>
                <w:color w:val="auto"/>
                <w:kern w:val="0"/>
                <w:highlight w:val="none"/>
              </w:rPr>
              <w:t>。</w:t>
            </w:r>
          </w:p>
        </w:tc>
      </w:tr>
      <w:tr w14:paraId="3179C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450" w:type="pct"/>
            <w:vAlign w:val="center"/>
          </w:tcPr>
          <w:p w14:paraId="7E65C1D1">
            <w:pPr>
              <w:ind w:firstLine="0" w:firstLineChars="0"/>
              <w:jc w:val="center"/>
              <w:rPr>
                <w:color w:val="auto"/>
                <w:highlight w:val="none"/>
              </w:rPr>
            </w:pPr>
            <w:r>
              <w:rPr>
                <w:rFonts w:hint="eastAsia"/>
                <w:color w:val="auto"/>
                <w:highlight w:val="none"/>
              </w:rPr>
              <w:t>其他</w:t>
            </w:r>
          </w:p>
        </w:tc>
        <w:tc>
          <w:tcPr>
            <w:tcW w:w="4550" w:type="pct"/>
            <w:vAlign w:val="center"/>
          </w:tcPr>
          <w:p w14:paraId="030FF623">
            <w:pPr>
              <w:adjustRightInd w:val="0"/>
              <w:snapToGrid w:val="0"/>
              <w:spacing w:line="480" w:lineRule="exact"/>
              <w:ind w:left="0" w:leftChars="0" w:firstLine="0" w:firstLineChars="0"/>
              <w:jc w:val="center"/>
              <w:rPr>
                <w:b/>
                <w:color w:val="auto"/>
                <w:kern w:val="0"/>
                <w:highlight w:val="none"/>
              </w:rPr>
            </w:pPr>
            <w:r>
              <w:rPr>
                <w:rFonts w:hint="eastAsia"/>
                <w:b/>
                <w:color w:val="auto"/>
                <w:kern w:val="0"/>
                <w:highlight w:val="none"/>
              </w:rPr>
              <w:t>无</w:t>
            </w:r>
          </w:p>
          <w:p w14:paraId="6229145D">
            <w:pPr>
              <w:adjustRightInd w:val="0"/>
              <w:snapToGrid w:val="0"/>
              <w:spacing w:line="480" w:lineRule="exact"/>
              <w:ind w:firstLine="482"/>
              <w:rPr>
                <w:b/>
                <w:color w:val="auto"/>
                <w:kern w:val="0"/>
                <w:highlight w:val="none"/>
              </w:rPr>
            </w:pPr>
          </w:p>
        </w:tc>
      </w:tr>
    </w:tbl>
    <w:p w14:paraId="260BB536">
      <w:pPr>
        <w:ind w:firstLine="600"/>
        <w:jc w:val="center"/>
        <w:outlineLvl w:val="0"/>
        <w:rPr>
          <w:rFonts w:ascii="黑体" w:hAnsi="黑体" w:eastAsia="黑体"/>
          <w:snapToGrid w:val="0"/>
          <w:color w:val="auto"/>
          <w:sz w:val="30"/>
          <w:szCs w:val="30"/>
          <w:highlight w:val="none"/>
        </w:rPr>
        <w:sectPr>
          <w:pgSz w:w="11906" w:h="16838"/>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58289939">
      <w:pPr>
        <w:pStyle w:val="5"/>
        <w:snapToGrid/>
        <w:spacing w:before="0" w:after="0" w:line="360" w:lineRule="auto"/>
        <w:ind w:left="0" w:firstLine="0" w:firstLineChars="0"/>
        <w:jc w:val="center"/>
        <w:rPr>
          <w:b w:val="0"/>
          <w:bCs w:val="0"/>
          <w:color w:val="auto"/>
          <w:highlight w:val="none"/>
        </w:rPr>
      </w:pPr>
      <w:bookmarkStart w:id="10" w:name="_Toc152588071"/>
      <w:bookmarkStart w:id="11" w:name="_Toc13685"/>
      <w:r>
        <w:rPr>
          <w:rFonts w:hint="eastAsia"/>
          <w:b w:val="0"/>
          <w:bCs w:val="0"/>
          <w:color w:val="auto"/>
          <w:highlight w:val="none"/>
        </w:rPr>
        <w:t>四、生态环境影响分析</w:t>
      </w:r>
      <w:bookmarkEnd w:id="10"/>
      <w:bookmarkEnd w:id="11"/>
    </w:p>
    <w:tbl>
      <w:tblPr>
        <w:tblStyle w:val="15"/>
        <w:tblW w:w="494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7767"/>
      </w:tblGrid>
      <w:tr w14:paraId="23D4B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tcMar>
              <w:left w:w="28" w:type="dxa"/>
              <w:right w:w="28" w:type="dxa"/>
            </w:tcMar>
            <w:vAlign w:val="center"/>
          </w:tcPr>
          <w:p w14:paraId="6C2D525B">
            <w:pPr>
              <w:ind w:firstLine="0" w:firstLineChars="0"/>
              <w:jc w:val="center"/>
              <w:rPr>
                <w:color w:val="auto"/>
                <w:sz w:val="21"/>
                <w:szCs w:val="21"/>
                <w:highlight w:val="none"/>
              </w:rPr>
            </w:pPr>
            <w:bookmarkStart w:id="12" w:name="_Hlk49796138"/>
            <w:r>
              <w:rPr>
                <w:color w:val="auto"/>
                <w:sz w:val="21"/>
                <w:szCs w:val="21"/>
                <w:highlight w:val="none"/>
              </w:rPr>
              <w:t>施工期生</w:t>
            </w:r>
          </w:p>
          <w:p w14:paraId="78372617">
            <w:pPr>
              <w:ind w:firstLine="0" w:firstLineChars="0"/>
              <w:jc w:val="center"/>
              <w:rPr>
                <w:color w:val="auto"/>
                <w:sz w:val="21"/>
                <w:szCs w:val="21"/>
                <w:highlight w:val="none"/>
              </w:rPr>
            </w:pPr>
            <w:r>
              <w:rPr>
                <w:color w:val="auto"/>
                <w:sz w:val="21"/>
                <w:szCs w:val="21"/>
                <w:highlight w:val="none"/>
              </w:rPr>
              <w:t>态环境影</w:t>
            </w:r>
          </w:p>
          <w:p w14:paraId="464C66B4">
            <w:pPr>
              <w:ind w:firstLine="0" w:firstLineChars="0"/>
              <w:jc w:val="center"/>
              <w:rPr>
                <w:color w:val="auto"/>
                <w:sz w:val="21"/>
                <w:szCs w:val="21"/>
                <w:highlight w:val="none"/>
              </w:rPr>
            </w:pPr>
            <w:r>
              <w:rPr>
                <w:color w:val="auto"/>
                <w:sz w:val="21"/>
                <w:szCs w:val="21"/>
                <w:highlight w:val="none"/>
              </w:rPr>
              <w:t>响分析</w:t>
            </w:r>
            <w:bookmarkEnd w:id="12"/>
          </w:p>
        </w:tc>
        <w:tc>
          <w:tcPr>
            <w:tcW w:w="4647" w:type="pct"/>
          </w:tcPr>
          <w:p w14:paraId="7AB5D89C">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lang w:val="en-GB"/>
              </w:rPr>
            </w:pPr>
            <w:r>
              <w:rPr>
                <w:rFonts w:hint="eastAsia"/>
                <w:b/>
                <w:color w:val="auto"/>
                <w:highlight w:val="none"/>
                <w:lang w:val="en-GB"/>
              </w:rPr>
              <w:t>1、</w:t>
            </w:r>
            <w:r>
              <w:rPr>
                <w:b/>
                <w:color w:val="auto"/>
                <w:highlight w:val="none"/>
                <w:lang w:val="en-GB"/>
              </w:rPr>
              <w:t>生态环境</w:t>
            </w:r>
          </w:p>
          <w:p w14:paraId="67F52F73">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对土地利用的影响</w:t>
            </w:r>
          </w:p>
          <w:p w14:paraId="6C7FD0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占地均永久占地，项目不占用永久基本农田保护区和生态红线，占地类型为公路用地。本项目永久占地对评价区内植物及植被影响较小，仅为个体损失、植被生物量减少。本项目永久占地区植被损失的生物量较小，且施工结束后，工程区植被恢复措施会在一定程度上缓解其影响。因此，本项目永久占地对占地区植物种类、植被类型及生物量的影响较小，对评价区土地利用方式影响可接受。</w:t>
            </w:r>
          </w:p>
          <w:p w14:paraId="5B4EAEE2">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对植被的影响</w:t>
            </w:r>
          </w:p>
          <w:p w14:paraId="0C29D115">
            <w:pPr>
              <w:spacing w:line="360" w:lineRule="auto"/>
              <w:ind w:firstLine="480" w:firstLineChars="200"/>
              <w:rPr>
                <w:rFonts w:ascii="Times New Roman" w:hAnsi="Times New Roman" w:eastAsia="宋体" w:cs="Times New Roman"/>
                <w:color w:val="auto"/>
                <w:kern w:val="21"/>
                <w:sz w:val="24"/>
                <w:highlight w:val="none"/>
              </w:rPr>
            </w:pPr>
            <w:r>
              <w:rPr>
                <w:rFonts w:ascii="Times New Roman" w:hAnsi="Times New Roman" w:eastAsia="宋体" w:cs="Times New Roman"/>
                <w:color w:val="auto"/>
                <w:kern w:val="21"/>
                <w:sz w:val="24"/>
                <w:highlight w:val="none"/>
              </w:rPr>
              <w:t>根据踏查与植物调查，评价区的植物群落主要为农田</w:t>
            </w:r>
            <w:r>
              <w:rPr>
                <w:rFonts w:hint="eastAsia" w:ascii="Times New Roman" w:hAnsi="Times New Roman" w:eastAsia="宋体" w:cs="Times New Roman"/>
                <w:color w:val="auto"/>
                <w:kern w:val="21"/>
                <w:sz w:val="24"/>
                <w:highlight w:val="none"/>
                <w:lang w:eastAsia="zh-CN"/>
              </w:rPr>
              <w:t>，</w:t>
            </w:r>
            <w:r>
              <w:rPr>
                <w:rFonts w:hint="eastAsia" w:hAnsi="宋体"/>
                <w:bCs/>
                <w:color w:val="auto"/>
                <w:sz w:val="24"/>
                <w:highlight w:val="none"/>
              </w:rPr>
              <w:t>项目</w:t>
            </w:r>
            <w:r>
              <w:rPr>
                <w:rFonts w:hint="eastAsia" w:hAnsi="宋体"/>
                <w:bCs/>
                <w:color w:val="auto"/>
                <w:sz w:val="24"/>
                <w:highlight w:val="none"/>
                <w:lang w:eastAsia="zh-CN"/>
              </w:rPr>
              <w:t>区</w:t>
            </w:r>
            <w:r>
              <w:rPr>
                <w:rFonts w:hint="eastAsia" w:hAnsi="宋体"/>
                <w:bCs/>
                <w:color w:val="auto"/>
                <w:sz w:val="24"/>
                <w:highlight w:val="none"/>
              </w:rPr>
              <w:t>不占用林地等具有水土保持功能的土地。</w:t>
            </w:r>
            <w:r>
              <w:rPr>
                <w:rFonts w:ascii="Times New Roman" w:hAnsi="Times New Roman" w:eastAsia="宋体" w:cs="Times New Roman"/>
                <w:color w:val="auto"/>
                <w:kern w:val="21"/>
                <w:sz w:val="24"/>
                <w:highlight w:val="none"/>
              </w:rPr>
              <w:t>群落类型均非特有类型，在本地区具有广泛分布。</w:t>
            </w:r>
            <w:r>
              <w:rPr>
                <w:rFonts w:hint="eastAsia" w:ascii="Times New Roman" w:hAnsi="Times New Roman" w:eastAsia="宋体" w:cs="Times New Roman"/>
                <w:color w:val="auto"/>
                <w:kern w:val="21"/>
                <w:sz w:val="24"/>
                <w:highlight w:val="none"/>
                <w:lang w:eastAsia="zh-CN"/>
              </w:rPr>
              <w:t>本</w:t>
            </w:r>
            <w:r>
              <w:rPr>
                <w:rFonts w:ascii="Times New Roman" w:hAnsi="Times New Roman" w:eastAsia="宋体" w:cs="Times New Roman"/>
                <w:color w:val="auto"/>
                <w:kern w:val="21"/>
                <w:sz w:val="24"/>
                <w:highlight w:val="none"/>
              </w:rPr>
              <w:t>工程永久占地面积</w:t>
            </w:r>
            <w:r>
              <w:rPr>
                <w:rFonts w:hint="eastAsia" w:ascii="Times New Roman" w:hAnsi="Times New Roman" w:eastAsia="宋体" w:cs="Times New Roman"/>
                <w:color w:val="auto"/>
                <w:kern w:val="21"/>
                <w:sz w:val="24"/>
                <w:highlight w:val="none"/>
                <w:lang w:val="en-US" w:eastAsia="zh-CN"/>
              </w:rPr>
              <w:t>230183</w:t>
            </w:r>
            <w:r>
              <w:rPr>
                <w:rFonts w:ascii="Times New Roman" w:hAnsi="Times New Roman" w:eastAsia="宋体" w:cs="Times New Roman"/>
                <w:color w:val="auto"/>
                <w:kern w:val="21"/>
                <w:sz w:val="24"/>
                <w:highlight w:val="none"/>
              </w:rPr>
              <w:t>m</w:t>
            </w:r>
            <w:r>
              <w:rPr>
                <w:rFonts w:ascii="Times New Roman" w:hAnsi="Times New Roman" w:eastAsia="宋体" w:cs="Times New Roman"/>
                <w:color w:val="auto"/>
                <w:kern w:val="21"/>
                <w:sz w:val="24"/>
                <w:highlight w:val="none"/>
                <w:vertAlign w:val="superscript"/>
              </w:rPr>
              <w:t>2</w:t>
            </w:r>
            <w:r>
              <w:rPr>
                <w:rFonts w:ascii="Times New Roman" w:hAnsi="Times New Roman" w:eastAsia="宋体" w:cs="Times New Roman"/>
                <w:color w:val="auto"/>
                <w:kern w:val="21"/>
                <w:sz w:val="24"/>
                <w:highlight w:val="none"/>
              </w:rPr>
              <w:t>。施工期间</w:t>
            </w:r>
            <w:r>
              <w:rPr>
                <w:rFonts w:hint="eastAsia" w:ascii="Times New Roman" w:hAnsi="Times New Roman" w:eastAsia="宋体" w:cs="Times New Roman"/>
                <w:color w:val="auto"/>
                <w:kern w:val="21"/>
                <w:sz w:val="24"/>
                <w:highlight w:val="none"/>
                <w:lang w:eastAsia="zh-CN"/>
              </w:rPr>
              <w:t>不设置临时占地</w:t>
            </w:r>
            <w:r>
              <w:rPr>
                <w:rFonts w:ascii="Times New Roman" w:hAnsi="Times New Roman" w:eastAsia="宋体" w:cs="Times New Roman"/>
                <w:color w:val="auto"/>
                <w:kern w:val="21"/>
                <w:sz w:val="24"/>
                <w:highlight w:val="none"/>
              </w:rPr>
              <w:t>，不存在临时占地对自然植被的挤占和破坏。工程占用对于区域植物区系影响不大，也不会对物种多样性造成影响。</w:t>
            </w:r>
          </w:p>
          <w:p w14:paraId="07D948F8">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对动物的影响</w:t>
            </w:r>
          </w:p>
          <w:p w14:paraId="454B3B97">
            <w:pPr>
              <w:spacing w:line="360" w:lineRule="auto"/>
              <w:ind w:firstLine="480" w:firstLineChars="200"/>
              <w:rPr>
                <w:rFonts w:hint="default"/>
                <w:color w:val="auto"/>
                <w:kern w:val="21"/>
                <w:sz w:val="24"/>
                <w:highlight w:val="none"/>
                <w:lang w:eastAsia="zh-CN"/>
              </w:rPr>
            </w:pPr>
            <w:r>
              <w:rPr>
                <w:rFonts w:hint="default"/>
                <w:color w:val="auto"/>
                <w:kern w:val="21"/>
                <w:sz w:val="24"/>
                <w:highlight w:val="none"/>
                <w:lang w:eastAsia="zh-CN"/>
              </w:rPr>
              <w:t>本项目</w:t>
            </w:r>
            <w:r>
              <w:rPr>
                <w:rFonts w:hint="eastAsia"/>
                <w:color w:val="auto"/>
                <w:kern w:val="21"/>
                <w:sz w:val="24"/>
                <w:highlight w:val="none"/>
                <w:lang w:val="en-US" w:eastAsia="zh-CN"/>
              </w:rPr>
              <w:t>施工过程</w:t>
            </w:r>
            <w:r>
              <w:rPr>
                <w:rFonts w:hint="default"/>
                <w:color w:val="auto"/>
                <w:kern w:val="21"/>
                <w:sz w:val="24"/>
                <w:highlight w:val="none"/>
                <w:lang w:eastAsia="zh-CN"/>
              </w:rPr>
              <w:t>受影响的野生动物主要为小型哺乳类和鸟类等，考虑到本项目两侧内有相似生境供野生动物栖息和生活，工程对野生动物的影响是短期的。本项目施工期作业机械发出的突发性非稳态噪声、产生的振动以及施工人员活动会使施工区域及附近路栖野生动物暂时迁移到远离施工区的地方，鸟类会暂时飞走。由于项目区域或类似生境丰富，且野生动物可随公路建设结束而逐渐回迁到公路两边地域，故公路施工期对其影响是暂时的。</w:t>
            </w:r>
          </w:p>
          <w:p w14:paraId="670EE57D">
            <w:pPr>
              <w:spacing w:line="360" w:lineRule="auto"/>
              <w:ind w:firstLine="480" w:firstLineChars="200"/>
              <w:rPr>
                <w:color w:val="auto"/>
                <w:kern w:val="21"/>
                <w:sz w:val="24"/>
                <w:highlight w:val="none"/>
              </w:rPr>
            </w:pPr>
            <w:r>
              <w:rPr>
                <w:rFonts w:hint="default"/>
                <w:color w:val="auto"/>
                <w:kern w:val="21"/>
                <w:sz w:val="24"/>
                <w:highlight w:val="none"/>
                <w:lang w:eastAsia="zh-CN"/>
              </w:rPr>
              <w:t>此外，由于大部分野生动物常在噪声和黄昏觅食，故工程应尽量避免在晨昏使用高噪声机械设备施工，同时减小夜间照明和禁止夜间施工，工程对野生动物的影响是可以接受的</w:t>
            </w:r>
            <w:r>
              <w:rPr>
                <w:color w:val="auto"/>
                <w:kern w:val="21"/>
                <w:sz w:val="24"/>
                <w:highlight w:val="none"/>
              </w:rPr>
              <w:t>。</w:t>
            </w:r>
          </w:p>
          <w:p w14:paraId="6B2E9966">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对水土流失的影响</w:t>
            </w:r>
          </w:p>
          <w:p w14:paraId="0C9562D6">
            <w:pPr>
              <w:spacing w:line="360" w:lineRule="auto"/>
              <w:ind w:firstLine="480"/>
              <w:jc w:val="left"/>
              <w:rPr>
                <w:rFonts w:hint="eastAsia" w:eastAsia="宋体"/>
                <w:color w:val="auto"/>
                <w:sz w:val="24"/>
                <w:highlight w:val="none"/>
                <w:lang w:eastAsia="zh-CN"/>
              </w:rPr>
            </w:pPr>
            <w:r>
              <w:rPr>
                <w:rFonts w:hint="eastAsia"/>
                <w:color w:val="auto"/>
                <w:sz w:val="24"/>
                <w:highlight w:val="none"/>
                <w:lang w:val="en-US" w:eastAsia="zh-CN"/>
              </w:rPr>
              <w:t>公路路基开挖</w:t>
            </w:r>
            <w:r>
              <w:rPr>
                <w:color w:val="auto"/>
                <w:sz w:val="24"/>
                <w:highlight w:val="none"/>
              </w:rPr>
              <w:t>过程中，大量的地表受到扰动，使地表抗侵蚀能力下降</w:t>
            </w:r>
            <w:r>
              <w:rPr>
                <w:rFonts w:hint="eastAsia"/>
                <w:color w:val="auto"/>
                <w:sz w:val="24"/>
                <w:highlight w:val="none"/>
              </w:rPr>
              <w:t>；施工前均采取表土剥离临时堆存，并采取苫布覆盖等水土保持措施，剥离表土用于路基边坡绿化</w:t>
            </w:r>
            <w:r>
              <w:rPr>
                <w:rFonts w:hint="eastAsia"/>
                <w:color w:val="auto"/>
                <w:sz w:val="24"/>
                <w:highlight w:val="none"/>
                <w:lang w:eastAsia="zh-CN"/>
              </w:rPr>
              <w:t>，</w:t>
            </w:r>
            <w:r>
              <w:rPr>
                <w:rFonts w:hint="eastAsia"/>
                <w:color w:val="auto"/>
                <w:sz w:val="24"/>
                <w:highlight w:val="none"/>
                <w:lang w:val="en-US" w:eastAsia="zh-CN"/>
              </w:rPr>
              <w:t>减少水土流失影响</w:t>
            </w:r>
            <w:r>
              <w:rPr>
                <w:color w:val="auto"/>
                <w:sz w:val="24"/>
                <w:highlight w:val="none"/>
              </w:rPr>
              <w:t>。</w:t>
            </w:r>
          </w:p>
          <w:p w14:paraId="538A9492">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对景观生态的影响</w:t>
            </w:r>
          </w:p>
          <w:p w14:paraId="1BE6BD9E">
            <w:pPr>
              <w:pStyle w:val="2"/>
              <w:spacing w:after="0" w:line="360" w:lineRule="auto"/>
              <w:ind w:firstLine="480" w:firstLineChars="200"/>
              <w:rPr>
                <w:color w:val="auto"/>
                <w:kern w:val="21"/>
                <w:sz w:val="24"/>
                <w:szCs w:val="22"/>
                <w:highlight w:val="none"/>
              </w:rPr>
            </w:pPr>
            <w:r>
              <w:rPr>
                <w:rFonts w:hint="eastAsia"/>
                <w:color w:val="auto"/>
                <w:kern w:val="21"/>
                <w:sz w:val="24"/>
                <w:highlight w:val="none"/>
                <w:lang w:eastAsia="zh-CN"/>
              </w:rPr>
              <w:t>本项目</w:t>
            </w:r>
            <w:r>
              <w:rPr>
                <w:color w:val="auto"/>
                <w:kern w:val="21"/>
                <w:sz w:val="24"/>
                <w:szCs w:val="22"/>
                <w:highlight w:val="none"/>
              </w:rPr>
              <w:t>建设对景观环境的主要影响是施工期</w:t>
            </w:r>
            <w:r>
              <w:rPr>
                <w:rFonts w:hint="eastAsia"/>
                <w:color w:val="auto"/>
                <w:kern w:val="21"/>
                <w:sz w:val="24"/>
                <w:szCs w:val="22"/>
                <w:highlight w:val="none"/>
                <w:lang w:eastAsia="zh-CN"/>
              </w:rPr>
              <w:t>表土</w:t>
            </w:r>
            <w:r>
              <w:rPr>
                <w:color w:val="auto"/>
                <w:kern w:val="21"/>
                <w:sz w:val="24"/>
                <w:szCs w:val="22"/>
                <w:highlight w:val="none"/>
              </w:rPr>
              <w:t>开挖使地表裸露的视觉反差，施工现场与周围景观的不协调，但是这种影响较为短暂，随着施工现场的清理，</w:t>
            </w:r>
            <w:r>
              <w:rPr>
                <w:rFonts w:hint="eastAsia"/>
                <w:color w:val="auto"/>
                <w:kern w:val="21"/>
                <w:sz w:val="24"/>
                <w:szCs w:val="22"/>
                <w:highlight w:val="none"/>
                <w:lang w:eastAsia="zh-CN"/>
              </w:rPr>
              <w:t>周边</w:t>
            </w:r>
            <w:r>
              <w:rPr>
                <w:color w:val="auto"/>
                <w:kern w:val="21"/>
                <w:sz w:val="24"/>
                <w:szCs w:val="22"/>
                <w:highlight w:val="none"/>
              </w:rPr>
              <w:t>自然景观将逐渐恢复；工程建设对评价内各类动、植物的影响甚微，不会对物种多样性造成明显影响。</w:t>
            </w:r>
          </w:p>
          <w:p w14:paraId="411285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lang w:val="en-GB"/>
              </w:rPr>
            </w:pPr>
            <w:r>
              <w:rPr>
                <w:color w:val="auto"/>
                <w:highlight w:val="none"/>
                <w:lang w:val="en-GB"/>
              </w:rPr>
              <w:t>详细施工期</w:t>
            </w:r>
            <w:r>
              <w:rPr>
                <w:rFonts w:hint="eastAsia"/>
                <w:color w:val="auto"/>
                <w:highlight w:val="none"/>
                <w:lang w:val="en-US" w:eastAsia="zh-CN"/>
              </w:rPr>
              <w:t>生态</w:t>
            </w:r>
            <w:r>
              <w:rPr>
                <w:color w:val="auto"/>
                <w:highlight w:val="none"/>
                <w:lang w:val="en-GB"/>
              </w:rPr>
              <w:t>环境影响分析详见《</w:t>
            </w:r>
            <w:r>
              <w:rPr>
                <w:rFonts w:hint="eastAsia"/>
                <w:color w:val="auto"/>
                <w:highlight w:val="none"/>
              </w:rPr>
              <w:t>生态影响</w:t>
            </w:r>
            <w:r>
              <w:rPr>
                <w:color w:val="auto"/>
                <w:highlight w:val="none"/>
              </w:rPr>
              <w:t>专项评价报告</w:t>
            </w:r>
            <w:r>
              <w:rPr>
                <w:color w:val="auto"/>
                <w:highlight w:val="none"/>
                <w:lang w:val="en-GB"/>
              </w:rPr>
              <w:t>》。</w:t>
            </w:r>
          </w:p>
          <w:p w14:paraId="613767F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lang w:val="en-GB"/>
              </w:rPr>
            </w:pPr>
            <w:r>
              <w:rPr>
                <w:rFonts w:hint="eastAsia"/>
                <w:b/>
                <w:color w:val="auto"/>
                <w:highlight w:val="none"/>
                <w:lang w:val="en-GB"/>
              </w:rPr>
              <w:t>2、</w:t>
            </w:r>
            <w:r>
              <w:rPr>
                <w:b/>
                <w:color w:val="auto"/>
                <w:highlight w:val="none"/>
                <w:lang w:val="en-GB"/>
              </w:rPr>
              <w:t>环境空气</w:t>
            </w:r>
          </w:p>
          <w:p w14:paraId="01C10F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b w:val="0"/>
                <w:color w:val="auto"/>
                <w:kern w:val="21"/>
                <w:sz w:val="24"/>
                <w:szCs w:val="24"/>
                <w:highlight w:val="none"/>
                <w:u w:val="none"/>
                <w:lang w:eastAsia="zh-CN"/>
              </w:rPr>
            </w:pPr>
            <w:r>
              <w:rPr>
                <w:rFonts w:hint="eastAsia" w:ascii="Times New Roman" w:hAnsi="Times New Roman" w:eastAsia="宋体"/>
                <w:b w:val="0"/>
                <w:color w:val="auto"/>
                <w:kern w:val="21"/>
                <w:sz w:val="24"/>
                <w:szCs w:val="24"/>
                <w:highlight w:val="none"/>
                <w:u w:val="none"/>
                <w:lang w:eastAsia="zh-CN"/>
              </w:rPr>
              <w:t>施工过程中，原有旧路拆除、土石方开挖等建筑材料汽车装卸、堆放等都可能会产生扬尘对环境空气质量带来影响。据有关资料显示，施工工地扬尘60%以上是汽车运输材料引起的道路扬尘。道路扬尘量的大小与车速、车型、车流量、风速、道路表面积尘量等多种因素有关。</w:t>
            </w:r>
          </w:p>
          <w:p w14:paraId="687153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b w:val="0"/>
                <w:color w:val="auto"/>
                <w:kern w:val="21"/>
                <w:sz w:val="24"/>
                <w:szCs w:val="24"/>
                <w:highlight w:val="none"/>
                <w:u w:val="none"/>
                <w:lang w:eastAsia="zh-CN"/>
              </w:rPr>
            </w:pPr>
            <w:r>
              <w:rPr>
                <w:rFonts w:hint="eastAsia" w:ascii="Times New Roman" w:hAnsi="Times New Roman" w:eastAsia="宋体"/>
                <w:b w:val="0"/>
                <w:color w:val="auto"/>
                <w:kern w:val="21"/>
                <w:sz w:val="24"/>
                <w:szCs w:val="24"/>
                <w:highlight w:val="none"/>
                <w:u w:val="none"/>
                <w:lang w:eastAsia="zh-CN"/>
              </w:rPr>
              <w:t>施工扬尘主要与施工管理、施工期的气候情况有关，特别是与施工期的风速密切相关。根据相关资料，在不对场地进行洒水情况下距离施工场地30m处施工扬尘为0.78mg/m</w:t>
            </w:r>
            <w:r>
              <w:rPr>
                <w:rFonts w:hint="eastAsia" w:ascii="Times New Roman" w:hAnsi="Times New Roman" w:eastAsia="宋体"/>
                <w:b w:val="0"/>
                <w:color w:val="auto"/>
                <w:kern w:val="21"/>
                <w:sz w:val="24"/>
                <w:szCs w:val="24"/>
                <w:highlight w:val="none"/>
                <w:u w:val="none"/>
                <w:vertAlign w:val="superscript"/>
                <w:lang w:eastAsia="zh-CN"/>
              </w:rPr>
              <w:t>3</w:t>
            </w:r>
            <w:r>
              <w:rPr>
                <w:rFonts w:hint="eastAsia" w:ascii="Times New Roman" w:hAnsi="Times New Roman" w:eastAsia="宋体"/>
                <w:b w:val="0"/>
                <w:color w:val="auto"/>
                <w:kern w:val="21"/>
                <w:sz w:val="24"/>
                <w:szCs w:val="24"/>
                <w:highlight w:val="none"/>
                <w:u w:val="none"/>
                <w:lang w:eastAsia="zh-CN"/>
              </w:rPr>
              <w:t>；在场地洒水情况下，距施工场地10m处，施工扬尘可以达到0.437mg/m</w:t>
            </w:r>
            <w:r>
              <w:rPr>
                <w:rFonts w:hint="eastAsia" w:ascii="Times New Roman" w:hAnsi="Times New Roman" w:eastAsia="宋体"/>
                <w:b w:val="0"/>
                <w:color w:val="auto"/>
                <w:kern w:val="21"/>
                <w:sz w:val="24"/>
                <w:szCs w:val="24"/>
                <w:highlight w:val="none"/>
                <w:u w:val="none"/>
                <w:vertAlign w:val="superscript"/>
                <w:lang w:eastAsia="zh-CN"/>
              </w:rPr>
              <w:t>3</w:t>
            </w:r>
            <w:r>
              <w:rPr>
                <w:rFonts w:hint="eastAsia" w:ascii="Times New Roman" w:hAnsi="Times New Roman" w:eastAsia="宋体"/>
                <w:b w:val="0"/>
                <w:color w:val="auto"/>
                <w:kern w:val="21"/>
                <w:sz w:val="24"/>
                <w:szCs w:val="24"/>
                <w:highlight w:val="none"/>
                <w:u w:val="none"/>
                <w:lang w:eastAsia="zh-CN"/>
              </w:rPr>
              <w:t>，可满足《大气污染物综合排放标准》（GB</w:t>
            </w:r>
            <w:r>
              <w:rPr>
                <w:rFonts w:hint="eastAsia" w:ascii="Times New Roman" w:hAnsi="Times New Roman" w:eastAsia="宋体"/>
                <w:b w:val="0"/>
                <w:color w:val="auto"/>
                <w:kern w:val="21"/>
                <w:sz w:val="24"/>
                <w:szCs w:val="24"/>
                <w:highlight w:val="none"/>
                <w:u w:val="none"/>
                <w:lang w:val="en-US" w:eastAsia="zh-CN"/>
              </w:rPr>
              <w:t xml:space="preserve"> </w:t>
            </w:r>
            <w:r>
              <w:rPr>
                <w:rFonts w:hint="eastAsia" w:ascii="Times New Roman" w:hAnsi="Times New Roman" w:eastAsia="宋体"/>
                <w:b w:val="0"/>
                <w:color w:val="auto"/>
                <w:kern w:val="21"/>
                <w:sz w:val="24"/>
                <w:szCs w:val="24"/>
                <w:highlight w:val="none"/>
                <w:u w:val="none"/>
                <w:lang w:eastAsia="zh-CN"/>
              </w:rPr>
              <w:t>16297-1996），可以达标排放。</w:t>
            </w:r>
          </w:p>
          <w:p w14:paraId="29793C2E">
            <w:pPr>
              <w:spacing w:line="360" w:lineRule="auto"/>
              <w:ind w:firstLine="480" w:firstLineChars="200"/>
              <w:rPr>
                <w:rFonts w:hint="eastAsia"/>
                <w:color w:val="auto"/>
                <w:sz w:val="24"/>
                <w:highlight w:val="yellow"/>
              </w:rPr>
            </w:pPr>
            <w:r>
              <w:rPr>
                <w:rFonts w:hint="eastAsia" w:ascii="Times New Roman" w:hAnsi="Times New Roman" w:eastAsia="宋体"/>
                <w:b w:val="0"/>
                <w:color w:val="auto"/>
                <w:kern w:val="21"/>
                <w:sz w:val="24"/>
                <w:szCs w:val="24"/>
                <w:highlight w:val="yellow"/>
                <w:u w:val="none"/>
                <w:lang w:eastAsia="zh-CN"/>
              </w:rPr>
              <w:t>施工期间</w:t>
            </w:r>
            <w:r>
              <w:rPr>
                <w:rFonts w:hint="eastAsia" w:ascii="Times New Roman" w:hAnsi="Times New Roman"/>
                <w:b w:val="0"/>
                <w:color w:val="auto"/>
                <w:kern w:val="21"/>
                <w:sz w:val="24"/>
                <w:szCs w:val="24"/>
                <w:highlight w:val="yellow"/>
                <w:u w:val="none"/>
                <w:lang w:eastAsia="zh-CN"/>
              </w:rPr>
              <w:t>水泥</w:t>
            </w:r>
            <w:r>
              <w:rPr>
                <w:rFonts w:hint="eastAsia" w:ascii="Times New Roman" w:hAnsi="Times New Roman" w:eastAsia="宋体"/>
                <w:b w:val="0"/>
                <w:color w:val="auto"/>
                <w:kern w:val="21"/>
                <w:sz w:val="24"/>
                <w:szCs w:val="24"/>
                <w:highlight w:val="yellow"/>
                <w:u w:val="none"/>
                <w:lang w:eastAsia="zh-CN"/>
              </w:rPr>
              <w:t>路面摊铺</w:t>
            </w:r>
            <w:r>
              <w:rPr>
                <w:rFonts w:hint="eastAsia"/>
                <w:color w:val="auto"/>
                <w:sz w:val="24"/>
                <w:highlight w:val="yellow"/>
              </w:rPr>
              <w:t>主要以粉尘大气污染为主，</w:t>
            </w:r>
            <w:r>
              <w:rPr>
                <w:rFonts w:hint="eastAsia"/>
                <w:color w:val="auto"/>
                <w:sz w:val="24"/>
                <w:highlight w:val="yellow"/>
                <w:lang w:val="en-US" w:eastAsia="zh-CN"/>
              </w:rPr>
              <w:t>粉尘呈无组织排形式排放。在施工过程中，施工单位应加强环境管理，进行洒水降尘，施工路线设置围挡，控制无组织粉尘的产生与排放，减轻对大气环境的影响。</w:t>
            </w:r>
          </w:p>
          <w:p w14:paraId="529FF2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b w:val="0"/>
                <w:color w:val="auto"/>
                <w:kern w:val="21"/>
                <w:sz w:val="24"/>
                <w:szCs w:val="24"/>
                <w:highlight w:val="none"/>
                <w:u w:val="none"/>
                <w:lang w:val="en-US" w:eastAsia="zh-CN"/>
              </w:rPr>
            </w:pPr>
            <w:r>
              <w:rPr>
                <w:rFonts w:hint="eastAsia" w:ascii="Times New Roman" w:hAnsi="Times New Roman" w:eastAsia="宋体"/>
                <w:b w:val="0"/>
                <w:color w:val="auto"/>
                <w:kern w:val="21"/>
                <w:sz w:val="24"/>
                <w:szCs w:val="24"/>
                <w:highlight w:val="none"/>
                <w:u w:val="none"/>
                <w:lang w:val="en-US" w:eastAsia="zh-CN"/>
              </w:rPr>
              <w:t>项目施工期产生的废气对周围环境影响较小。</w:t>
            </w:r>
          </w:p>
          <w:p w14:paraId="4F5DC31F">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lang w:val="en-GB"/>
              </w:rPr>
            </w:pPr>
            <w:r>
              <w:rPr>
                <w:rFonts w:hint="eastAsia"/>
                <w:b/>
                <w:color w:val="auto"/>
                <w:highlight w:val="none"/>
                <w:lang w:val="en-GB"/>
              </w:rPr>
              <w:t>3、</w:t>
            </w:r>
            <w:r>
              <w:rPr>
                <w:b/>
                <w:color w:val="auto"/>
                <w:highlight w:val="none"/>
                <w:lang w:val="en-GB"/>
              </w:rPr>
              <w:t>地表水环境</w:t>
            </w:r>
          </w:p>
          <w:p w14:paraId="26DFBA2A">
            <w:pPr>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）生活污水</w:t>
            </w:r>
          </w:p>
          <w:p w14:paraId="408A9718">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本项目施工场地工作人员会</w:t>
            </w:r>
            <w:r>
              <w:rPr>
                <w:rFonts w:hint="default" w:ascii="Times New Roman" w:hAnsi="Times New Roman" w:eastAsia="宋体" w:cs="Times New Roman"/>
                <w:color w:val="auto"/>
                <w:sz w:val="24"/>
                <w:szCs w:val="24"/>
                <w:highlight w:val="none"/>
              </w:rPr>
              <w:t>产生生活污水，主要污染物为COD、氨氮、SS等。</w:t>
            </w:r>
            <w:r>
              <w:rPr>
                <w:rFonts w:hint="default" w:ascii="Times New Roman" w:hAnsi="Times New Roman" w:eastAsia="宋体" w:cs="Times New Roman"/>
                <w:color w:val="auto"/>
                <w:sz w:val="24"/>
                <w:szCs w:val="24"/>
                <w:highlight w:val="none"/>
                <w:lang w:val="en-US" w:eastAsia="zh-CN"/>
              </w:rPr>
              <w:t>施工场地设有防渗旱厕，生活污水</w:t>
            </w:r>
            <w:r>
              <w:rPr>
                <w:rFonts w:hint="default" w:ascii="Times New Roman" w:hAnsi="Times New Roman" w:eastAsia="宋体" w:cs="Times New Roman"/>
                <w:color w:val="auto"/>
                <w:sz w:val="24"/>
                <w:szCs w:val="24"/>
                <w:highlight w:val="none"/>
                <w:lang w:eastAsia="zh-CN"/>
              </w:rPr>
              <w:t>排入</w:t>
            </w:r>
            <w:r>
              <w:rPr>
                <w:rFonts w:hint="default" w:ascii="Times New Roman" w:hAnsi="Times New Roman" w:eastAsia="宋体" w:cs="Times New Roman"/>
                <w:color w:val="auto"/>
                <w:sz w:val="24"/>
                <w:szCs w:val="24"/>
                <w:highlight w:val="none"/>
              </w:rPr>
              <w:t>防渗旱厕，定期清掏，外运堆肥处理，不排入周边地表水体，不会对地表水体造成不良影响。</w:t>
            </w:r>
          </w:p>
          <w:p w14:paraId="369E0A4E">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施工生产废水</w:t>
            </w:r>
          </w:p>
          <w:p w14:paraId="7B16B589">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施工生产废水主要为施工机械和车辆冲洗废水。施工场地施工机械和</w:t>
            </w:r>
            <w:r>
              <w:rPr>
                <w:rFonts w:hint="eastAsia" w:cs="Times New Roman"/>
                <w:color w:val="auto"/>
                <w:sz w:val="24"/>
                <w:szCs w:val="24"/>
                <w:highlight w:val="none"/>
                <w:lang w:val="en-US" w:eastAsia="zh-CN"/>
              </w:rPr>
              <w:t>车辆</w:t>
            </w:r>
            <w:r>
              <w:rPr>
                <w:rFonts w:hint="default" w:ascii="Times New Roman" w:hAnsi="Times New Roman" w:eastAsia="宋体" w:cs="Times New Roman"/>
                <w:color w:val="auto"/>
                <w:sz w:val="24"/>
                <w:szCs w:val="24"/>
                <w:highlight w:val="none"/>
              </w:rPr>
              <w:t>清洗废水中主要污染物为SS</w:t>
            </w:r>
            <w:r>
              <w:rPr>
                <w:rFonts w:hint="eastAsia" w:cs="Times New Roman"/>
                <w:color w:val="auto"/>
                <w:sz w:val="24"/>
                <w:szCs w:val="24"/>
                <w:highlight w:val="none"/>
                <w:lang w:val="en-US" w:eastAsia="zh-CN"/>
              </w:rPr>
              <w:t>及少量石油类</w:t>
            </w:r>
            <w:r>
              <w:rPr>
                <w:rFonts w:hint="default" w:ascii="Times New Roman" w:hAnsi="Times New Roman" w:eastAsia="宋体" w:cs="Times New Roman"/>
                <w:color w:val="auto"/>
                <w:sz w:val="24"/>
                <w:szCs w:val="24"/>
                <w:highlight w:val="none"/>
              </w:rPr>
              <w:t>，污染物浓度为SS</w:t>
            </w:r>
            <w:r>
              <w:rPr>
                <w:rFonts w:hint="eastAsia"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0mg/L，废水经设置的临时隔油沉淀池集中处理后，回用于生产或用于施工场地洒水降尘，不外排。施工场地生产废水不会对地表水体造成不良影响。</w:t>
            </w:r>
          </w:p>
          <w:p w14:paraId="37FEE14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kern w:val="21"/>
                <w:highlight w:val="none"/>
              </w:rPr>
            </w:pPr>
            <w:r>
              <w:rPr>
                <w:rFonts w:hint="eastAsia"/>
                <w:color w:val="auto"/>
                <w:kern w:val="21"/>
                <w:highlight w:val="none"/>
              </w:rPr>
              <w:t>综上所述，本</w:t>
            </w:r>
            <w:r>
              <w:rPr>
                <w:color w:val="auto"/>
                <w:kern w:val="21"/>
                <w:highlight w:val="none"/>
              </w:rPr>
              <w:t>项目施工废水对周围环境影响较小。</w:t>
            </w:r>
          </w:p>
          <w:p w14:paraId="26F5FBA1">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lang w:val="en-GB"/>
              </w:rPr>
            </w:pPr>
            <w:r>
              <w:rPr>
                <w:rFonts w:hint="eastAsia"/>
                <w:b/>
                <w:color w:val="auto"/>
                <w:highlight w:val="none"/>
                <w:lang w:val="en-GB"/>
              </w:rPr>
              <w:t>4、</w:t>
            </w:r>
            <w:r>
              <w:rPr>
                <w:b/>
                <w:color w:val="auto"/>
                <w:highlight w:val="none"/>
                <w:lang w:val="en-GB"/>
              </w:rPr>
              <w:t>声环境</w:t>
            </w:r>
          </w:p>
          <w:p w14:paraId="1A2AE991">
            <w:pPr>
              <w:rPr>
                <w:color w:val="auto"/>
                <w:highlight w:val="yellow"/>
              </w:rPr>
            </w:pPr>
            <w:r>
              <w:rPr>
                <w:color w:val="auto"/>
                <w:highlight w:val="none"/>
              </w:rPr>
              <w:t>由预测结果可知，拟建公路夜间施工对沿线敏感点影响较大，因此本评价要求途经敏感点路段施工时合理安排施工时间，禁止夜间（22:00</w:t>
            </w:r>
            <w:r>
              <w:rPr>
                <w:rFonts w:hint="eastAsia"/>
                <w:color w:val="auto"/>
                <w:highlight w:val="none"/>
              </w:rPr>
              <w:t>～0</w:t>
            </w:r>
            <w:r>
              <w:rPr>
                <w:color w:val="auto"/>
                <w:highlight w:val="none"/>
              </w:rPr>
              <w:t>6:00）施工作业；</w:t>
            </w:r>
            <w:r>
              <w:rPr>
                <w:color w:val="auto"/>
                <w:highlight w:val="yellow"/>
              </w:rPr>
              <w:t>途经</w:t>
            </w:r>
            <w:r>
              <w:rPr>
                <w:rFonts w:hint="eastAsia"/>
                <w:color w:val="auto"/>
                <w:highlight w:val="yellow"/>
              </w:rPr>
              <w:t>超标</w:t>
            </w:r>
            <w:r>
              <w:rPr>
                <w:color w:val="auto"/>
                <w:highlight w:val="yellow"/>
              </w:rPr>
              <w:t>敏感点路段施工时采用移动式隔声</w:t>
            </w:r>
            <w:r>
              <w:rPr>
                <w:rFonts w:hint="eastAsia"/>
                <w:color w:val="auto"/>
                <w:highlight w:val="yellow"/>
              </w:rPr>
              <w:t>、隔尘挡板，材质为镀锌板</w:t>
            </w:r>
            <w:r>
              <w:rPr>
                <w:color w:val="auto"/>
                <w:highlight w:val="yellow"/>
              </w:rPr>
              <w:t>，</w:t>
            </w:r>
            <w:r>
              <w:rPr>
                <w:rFonts w:hint="eastAsia"/>
                <w:color w:val="auto"/>
                <w:highlight w:val="yellow"/>
              </w:rPr>
              <w:t>隔声量3</w:t>
            </w:r>
            <w:r>
              <w:rPr>
                <w:color w:val="auto"/>
                <w:highlight w:val="yellow"/>
              </w:rPr>
              <w:t>0-50dB</w:t>
            </w:r>
            <w:r>
              <w:rPr>
                <w:rFonts w:hint="eastAsia"/>
                <w:color w:val="auto"/>
                <w:highlight w:val="yellow"/>
              </w:rPr>
              <w:t>，建议长度覆盖整个环境保护目标，同时两侧各外延50m，高度3m，并在距敏感目较劲路段施工时、对高噪声</w:t>
            </w:r>
            <w:r>
              <w:rPr>
                <w:color w:val="auto"/>
                <w:highlight w:val="yellow"/>
              </w:rPr>
              <w:t>施工机械采取消声减震</w:t>
            </w:r>
            <w:r>
              <w:rPr>
                <w:rFonts w:hint="eastAsia"/>
                <w:color w:val="auto"/>
                <w:highlight w:val="yellow"/>
              </w:rPr>
              <w:t>等</w:t>
            </w:r>
            <w:r>
              <w:rPr>
                <w:color w:val="auto"/>
                <w:highlight w:val="yellow"/>
              </w:rPr>
              <w:t>措施。</w:t>
            </w:r>
          </w:p>
          <w:p w14:paraId="50604DB6">
            <w:pPr>
              <w:rPr>
                <w:color w:val="auto"/>
                <w:highlight w:val="none"/>
              </w:rPr>
            </w:pPr>
            <w:r>
              <w:rPr>
                <w:color w:val="auto"/>
                <w:highlight w:val="none"/>
              </w:rPr>
              <w:t>采取上述措施，施工</w:t>
            </w:r>
            <w:r>
              <w:rPr>
                <w:rFonts w:hint="eastAsia"/>
                <w:color w:val="auto"/>
                <w:highlight w:val="none"/>
              </w:rPr>
              <w:t>场界</w:t>
            </w:r>
            <w:r>
              <w:rPr>
                <w:color w:val="auto"/>
                <w:highlight w:val="none"/>
              </w:rPr>
              <w:t>噪声满足《建筑施工场界环境噪声排放标准》（GB12523-2011），即昼间70dB(A)、夜间55dB(A)；沿线</w:t>
            </w:r>
            <w:r>
              <w:rPr>
                <w:rFonts w:hint="eastAsia"/>
                <w:color w:val="auto"/>
                <w:highlight w:val="none"/>
              </w:rPr>
              <w:t>村屯</w:t>
            </w:r>
            <w:r>
              <w:rPr>
                <w:color w:val="auto"/>
                <w:highlight w:val="none"/>
              </w:rPr>
              <w:t>敏感点在公路施工期时声环境可达到《声环境质量标准》（GB3096－2008）中2类标准。</w:t>
            </w:r>
          </w:p>
          <w:p w14:paraId="7B03F9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lang w:val="en-GB"/>
              </w:rPr>
            </w:pPr>
            <w:r>
              <w:rPr>
                <w:color w:val="auto"/>
                <w:highlight w:val="none"/>
                <w:lang w:val="en-GB"/>
              </w:rPr>
              <w:t>详细施工期声环境影响分析详见《</w:t>
            </w:r>
            <w:r>
              <w:rPr>
                <w:color w:val="auto"/>
                <w:highlight w:val="none"/>
              </w:rPr>
              <w:t>噪声专项评价报告</w:t>
            </w:r>
            <w:r>
              <w:rPr>
                <w:color w:val="auto"/>
                <w:highlight w:val="none"/>
                <w:lang w:val="en-GB"/>
              </w:rPr>
              <w:t>》。</w:t>
            </w:r>
          </w:p>
          <w:p w14:paraId="76DDC84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highlight w:val="none"/>
                <w:lang w:val="en-GB"/>
              </w:rPr>
            </w:pPr>
            <w:r>
              <w:rPr>
                <w:rFonts w:hint="eastAsia"/>
                <w:b/>
                <w:color w:val="auto"/>
                <w:highlight w:val="none"/>
                <w:lang w:val="en-GB"/>
              </w:rPr>
              <w:t>5、</w:t>
            </w:r>
            <w:r>
              <w:rPr>
                <w:b/>
                <w:color w:val="auto"/>
                <w:highlight w:val="none"/>
                <w:lang w:val="en-GB"/>
              </w:rPr>
              <w:t>固体废物</w:t>
            </w:r>
          </w:p>
          <w:p w14:paraId="61B2B9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highlight w:val="none"/>
              </w:rPr>
            </w:pPr>
            <w:r>
              <w:rPr>
                <w:rFonts w:hint="eastAsia"/>
                <w:color w:val="auto"/>
                <w:kern w:val="21"/>
                <w:highlight w:val="none"/>
              </w:rPr>
              <w:t>本项目旧路水泥砼路面现场采用破碎机进行二次破碎后回填路基，均不做弃方处理。</w:t>
            </w:r>
          </w:p>
          <w:p w14:paraId="29728C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highlight w:val="none"/>
              </w:rPr>
            </w:pPr>
            <w:r>
              <w:rPr>
                <w:rFonts w:hint="eastAsia"/>
                <w:color w:val="auto"/>
                <w:kern w:val="21"/>
                <w:highlight w:val="none"/>
              </w:rPr>
              <w:t>（1）生活垃圾</w:t>
            </w:r>
          </w:p>
          <w:p w14:paraId="442F64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highlight w:val="none"/>
              </w:rPr>
            </w:pPr>
            <w:r>
              <w:rPr>
                <w:rFonts w:hint="eastAsia"/>
                <w:color w:val="auto"/>
                <w:kern w:val="21"/>
                <w:highlight w:val="none"/>
              </w:rPr>
              <w:t>本</w:t>
            </w:r>
            <w:r>
              <w:rPr>
                <w:color w:val="auto"/>
                <w:kern w:val="21"/>
                <w:highlight w:val="none"/>
              </w:rPr>
              <w:t>项目不设置</w:t>
            </w:r>
            <w:r>
              <w:rPr>
                <w:rFonts w:hint="eastAsia"/>
                <w:color w:val="auto"/>
                <w:kern w:val="21"/>
                <w:highlight w:val="none"/>
              </w:rPr>
              <w:t>施工驻地</w:t>
            </w:r>
            <w:r>
              <w:rPr>
                <w:color w:val="auto"/>
                <w:kern w:val="21"/>
                <w:highlight w:val="none"/>
              </w:rPr>
              <w:t>，施工生活垃圾经附近民宅收集后由环卫部门统一处置。</w:t>
            </w:r>
          </w:p>
          <w:p w14:paraId="5AF388B1">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color w:val="auto"/>
                <w:highlight w:val="none"/>
              </w:rPr>
            </w:pPr>
            <w:r>
              <w:rPr>
                <w:rFonts w:hint="eastAsia"/>
                <w:color w:val="auto"/>
                <w:kern w:val="21"/>
                <w:highlight w:val="none"/>
              </w:rPr>
              <w:t>（2）</w:t>
            </w:r>
            <w:r>
              <w:rPr>
                <w:rFonts w:hint="eastAsia"/>
                <w:color w:val="auto"/>
                <w:highlight w:val="none"/>
              </w:rPr>
              <w:t>施工弃方</w:t>
            </w:r>
          </w:p>
          <w:p w14:paraId="3E3111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highlight w:val="none"/>
                <w:lang w:eastAsia="zh-CN"/>
              </w:rPr>
            </w:pPr>
            <w:r>
              <w:rPr>
                <w:rFonts w:hint="eastAsia" w:ascii="Times New Roman" w:hAnsi="Times New Roman" w:eastAsia="宋体"/>
                <w:b w:val="0"/>
                <w:color w:val="auto"/>
                <w:kern w:val="21"/>
                <w:sz w:val="24"/>
                <w:szCs w:val="24"/>
                <w:highlight w:val="none"/>
                <w:u w:val="none"/>
                <w:lang w:eastAsia="zh-CN"/>
              </w:rPr>
              <w:t>施工期</w:t>
            </w:r>
            <w:r>
              <w:rPr>
                <w:rFonts w:hint="eastAsia" w:ascii="Times New Roman" w:hAnsi="Times New Roman"/>
                <w:color w:val="auto"/>
                <w:spacing w:val="0"/>
                <w:highlight w:val="none"/>
              </w:rPr>
              <w:t>表土剥离量</w:t>
            </w:r>
            <w:r>
              <w:rPr>
                <w:rFonts w:hint="eastAsia"/>
                <w:color w:val="auto"/>
                <w:spacing w:val="0"/>
                <w:highlight w:val="none"/>
                <w:lang w:val="en-US" w:eastAsia="zh-CN"/>
              </w:rPr>
              <w:t>0.77</w:t>
            </w:r>
            <w:r>
              <w:rPr>
                <w:rFonts w:hint="eastAsia" w:ascii="Times New Roman" w:hAnsi="Times New Roman"/>
                <w:color w:val="auto"/>
                <w:spacing w:val="0"/>
                <w:highlight w:val="none"/>
                <w:lang w:val="en-US" w:eastAsia="zh-CN"/>
              </w:rPr>
              <w:t>万</w:t>
            </w:r>
            <w:r>
              <w:rPr>
                <w:rFonts w:hint="eastAsia" w:ascii="Times New Roman" w:hAnsi="Times New Roman"/>
                <w:color w:val="auto"/>
                <w:spacing w:val="0"/>
                <w:highlight w:val="none"/>
              </w:rPr>
              <w:t>m</w:t>
            </w:r>
            <w:r>
              <w:rPr>
                <w:rFonts w:hint="eastAsia" w:ascii="Times New Roman" w:hAnsi="Times New Roman"/>
                <w:color w:val="auto"/>
                <w:spacing w:val="0"/>
                <w:highlight w:val="none"/>
                <w:vertAlign w:val="superscript"/>
                <w:lang w:val="en-US" w:eastAsia="zh-CN"/>
              </w:rPr>
              <w:t>3</w:t>
            </w:r>
            <w:r>
              <w:rPr>
                <w:rFonts w:ascii="Times New Roman" w:hAnsi="Times New Roman" w:eastAsia="宋体"/>
                <w:color w:val="auto"/>
                <w:kern w:val="21"/>
                <w:sz w:val="24"/>
                <w:szCs w:val="21"/>
                <w:highlight w:val="none"/>
              </w:rPr>
              <w:t>，</w:t>
            </w:r>
            <w:r>
              <w:rPr>
                <w:rFonts w:hint="eastAsia" w:ascii="Times New Roman" w:hAnsi="Times New Roman"/>
                <w:color w:val="auto"/>
                <w:sz w:val="24"/>
                <w:szCs w:val="24"/>
                <w:highlight w:val="none"/>
                <w:vertAlign w:val="baseline"/>
                <w:lang w:val="en-US" w:eastAsia="zh-CN"/>
              </w:rPr>
              <w:t>均暂存永久占地范围内，并采取苫布覆盖等水土保持措施，用于覆土和绿化。</w:t>
            </w:r>
            <w:r>
              <w:rPr>
                <w:rFonts w:hint="eastAsia" w:ascii="Times New Roman" w:hAnsi="Times New Roman" w:eastAsia="宋体"/>
                <w:color w:val="auto"/>
                <w:kern w:val="21"/>
                <w:sz w:val="24"/>
                <w:szCs w:val="21"/>
                <w:highlight w:val="none"/>
              </w:rPr>
              <w:t>拆除</w:t>
            </w:r>
            <w:r>
              <w:rPr>
                <w:rFonts w:hint="eastAsia" w:ascii="Times New Roman" w:hAnsi="Times New Roman" w:eastAsia="宋体"/>
                <w:color w:val="auto"/>
                <w:kern w:val="21"/>
                <w:sz w:val="24"/>
                <w:szCs w:val="24"/>
                <w:highlight w:val="none"/>
                <w:u w:val="none"/>
                <w:lang w:eastAsia="zh-CN"/>
              </w:rPr>
              <w:t>土石方</w:t>
            </w:r>
            <w:r>
              <w:rPr>
                <w:rFonts w:hint="eastAsia" w:ascii="Times New Roman" w:hAnsi="Times New Roman" w:eastAsia="宋体"/>
                <w:color w:val="auto"/>
                <w:kern w:val="21"/>
                <w:sz w:val="24"/>
                <w:szCs w:val="21"/>
                <w:highlight w:val="none"/>
              </w:rPr>
              <w:t>回用路基填筑</w:t>
            </w:r>
            <w:r>
              <w:rPr>
                <w:rFonts w:hint="eastAsia" w:ascii="Times New Roman" w:hAnsi="Times New Roman" w:eastAsia="宋体"/>
                <w:color w:val="auto"/>
                <w:kern w:val="21"/>
                <w:sz w:val="24"/>
                <w:szCs w:val="21"/>
                <w:highlight w:val="none"/>
                <w:lang w:eastAsia="zh-CN"/>
              </w:rPr>
              <w:t>，</w:t>
            </w:r>
            <w:r>
              <w:rPr>
                <w:rFonts w:hint="eastAsia"/>
                <w:color w:val="auto"/>
                <w:highlight w:val="none"/>
              </w:rPr>
              <w:t>本项目</w:t>
            </w:r>
            <w:r>
              <w:rPr>
                <w:rFonts w:hint="eastAsia"/>
                <w:color w:val="auto"/>
                <w:highlight w:val="none"/>
                <w:lang w:val="en-US" w:eastAsia="zh-CN"/>
              </w:rPr>
              <w:t>挖方</w:t>
            </w:r>
            <w:r>
              <w:rPr>
                <w:rFonts w:hint="eastAsia" w:cs="Times New Roman"/>
                <w:color w:val="auto"/>
                <w:sz w:val="24"/>
                <w:szCs w:val="24"/>
                <w:highlight w:val="none"/>
                <w:lang w:val="en-US" w:eastAsia="zh-CN"/>
              </w:rPr>
              <w:t>可全部利用无弃方</w:t>
            </w:r>
            <w:r>
              <w:rPr>
                <w:rFonts w:hint="eastAsia"/>
                <w:color w:val="auto"/>
                <w:highlight w:val="none"/>
                <w:lang w:eastAsia="zh-CN"/>
              </w:rPr>
              <w:t>。</w:t>
            </w:r>
          </w:p>
          <w:p w14:paraId="546030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1"/>
                <w:szCs w:val="21"/>
                <w:highlight w:val="none"/>
              </w:rPr>
            </w:pPr>
            <w:r>
              <w:rPr>
                <w:rFonts w:hint="eastAsia"/>
                <w:color w:val="auto"/>
                <w:highlight w:val="none"/>
              </w:rPr>
              <w:t>综上所述，本</w:t>
            </w:r>
            <w:r>
              <w:rPr>
                <w:color w:val="auto"/>
                <w:highlight w:val="none"/>
              </w:rPr>
              <w:t>项目施工固体废物对周围环境影响较小。</w:t>
            </w:r>
          </w:p>
        </w:tc>
      </w:tr>
      <w:tr w14:paraId="18145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53" w:type="pct"/>
            <w:tcMar>
              <w:left w:w="28" w:type="dxa"/>
              <w:right w:w="28" w:type="dxa"/>
            </w:tcMar>
            <w:vAlign w:val="center"/>
          </w:tcPr>
          <w:p w14:paraId="4806D49A">
            <w:pPr>
              <w:ind w:firstLine="0" w:firstLineChars="0"/>
              <w:jc w:val="center"/>
              <w:rPr>
                <w:color w:val="auto"/>
                <w:highlight w:val="none"/>
              </w:rPr>
            </w:pPr>
            <w:r>
              <w:rPr>
                <w:color w:val="auto"/>
                <w:highlight w:val="none"/>
              </w:rPr>
              <w:t>运营期生</w:t>
            </w:r>
          </w:p>
          <w:p w14:paraId="05D7BB92">
            <w:pPr>
              <w:ind w:firstLine="0" w:firstLineChars="0"/>
              <w:jc w:val="center"/>
              <w:rPr>
                <w:color w:val="auto"/>
                <w:highlight w:val="none"/>
              </w:rPr>
            </w:pPr>
            <w:r>
              <w:rPr>
                <w:color w:val="auto"/>
                <w:highlight w:val="none"/>
              </w:rPr>
              <w:t>态环境影</w:t>
            </w:r>
          </w:p>
          <w:p w14:paraId="2781709D">
            <w:pPr>
              <w:ind w:firstLine="0" w:firstLineChars="0"/>
              <w:jc w:val="center"/>
              <w:rPr>
                <w:color w:val="auto"/>
                <w:highlight w:val="none"/>
              </w:rPr>
            </w:pPr>
            <w:r>
              <w:rPr>
                <w:color w:val="auto"/>
                <w:highlight w:val="none"/>
              </w:rPr>
              <w:t>响分析</w:t>
            </w:r>
          </w:p>
        </w:tc>
        <w:tc>
          <w:tcPr>
            <w:tcW w:w="4647" w:type="pct"/>
          </w:tcPr>
          <w:p w14:paraId="1131099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highlight w:val="none"/>
              </w:rPr>
            </w:pPr>
            <w:r>
              <w:rPr>
                <w:rFonts w:hint="eastAsia"/>
                <w:b/>
                <w:color w:val="auto"/>
                <w:highlight w:val="none"/>
              </w:rPr>
              <w:t>1、</w:t>
            </w:r>
            <w:r>
              <w:rPr>
                <w:b/>
                <w:color w:val="auto"/>
                <w:highlight w:val="none"/>
              </w:rPr>
              <w:t>生态</w:t>
            </w:r>
            <w:r>
              <w:rPr>
                <w:rFonts w:hint="eastAsia"/>
                <w:b/>
                <w:color w:val="auto"/>
                <w:highlight w:val="none"/>
              </w:rPr>
              <w:t>环境</w:t>
            </w:r>
          </w:p>
          <w:p w14:paraId="547B30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1） 对土地利用影响</w:t>
            </w:r>
          </w:p>
          <w:p w14:paraId="2A43DE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lang w:bidi="ar"/>
              </w:rPr>
            </w:pPr>
            <w:r>
              <w:rPr>
                <w:rFonts w:hint="eastAsia" w:ascii="Times New Roman" w:hAnsi="Times New Roman"/>
                <w:color w:val="auto"/>
                <w:kern w:val="21"/>
                <w:sz w:val="24"/>
                <w:highlight w:val="none"/>
                <w:lang w:eastAsia="zh-CN"/>
              </w:rPr>
              <w:t>本项目</w:t>
            </w:r>
            <w:r>
              <w:rPr>
                <w:rFonts w:hint="eastAsia"/>
                <w:color w:val="auto"/>
                <w:sz w:val="24"/>
                <w:highlight w:val="none"/>
                <w:lang w:val="en-US" w:eastAsia="zh-CN" w:bidi="ar"/>
              </w:rPr>
              <w:t>未新增占地，</w:t>
            </w:r>
            <w:r>
              <w:rPr>
                <w:rFonts w:hint="eastAsia"/>
                <w:color w:val="auto"/>
                <w:sz w:val="24"/>
                <w:highlight w:val="none"/>
                <w:lang w:eastAsia="zh-CN" w:bidi="ar"/>
              </w:rPr>
              <w:t>现状为</w:t>
            </w:r>
            <w:r>
              <w:rPr>
                <w:rFonts w:hint="eastAsia"/>
                <w:color w:val="auto"/>
                <w:sz w:val="24"/>
                <w:highlight w:val="none"/>
                <w:lang w:val="en-US" w:eastAsia="zh-CN" w:bidi="ar"/>
              </w:rPr>
              <w:t>公路</w:t>
            </w:r>
            <w:r>
              <w:rPr>
                <w:rFonts w:hint="eastAsia"/>
                <w:color w:val="auto"/>
                <w:sz w:val="24"/>
                <w:highlight w:val="none"/>
                <w:lang w:eastAsia="zh-CN" w:bidi="ar"/>
              </w:rPr>
              <w:t>。</w:t>
            </w:r>
            <w:r>
              <w:rPr>
                <w:color w:val="auto"/>
                <w:sz w:val="24"/>
                <w:highlight w:val="none"/>
                <w:lang w:bidi="ar"/>
              </w:rPr>
              <w:t>工程永久占地</w:t>
            </w:r>
            <w:r>
              <w:rPr>
                <w:rFonts w:hint="eastAsia"/>
                <w:color w:val="auto"/>
                <w:sz w:val="24"/>
                <w:highlight w:val="none"/>
                <w:lang w:val="en-US" w:eastAsia="zh-CN" w:bidi="ar"/>
              </w:rPr>
              <w:t>未使</w:t>
            </w:r>
            <w:r>
              <w:rPr>
                <w:color w:val="auto"/>
                <w:sz w:val="24"/>
                <w:highlight w:val="none"/>
                <w:lang w:bidi="ar"/>
              </w:rPr>
              <w:t>土地利用现状发生改变，</w:t>
            </w:r>
            <w:r>
              <w:rPr>
                <w:rFonts w:hint="default"/>
                <w:color w:val="auto"/>
                <w:sz w:val="24"/>
                <w:highlight w:val="none"/>
                <w:lang w:eastAsia="zh-CN" w:bidi="ar"/>
              </w:rPr>
              <w:t>本项目建设对</w:t>
            </w:r>
            <w:r>
              <w:rPr>
                <w:color w:val="auto"/>
                <w:sz w:val="24"/>
                <w:highlight w:val="none"/>
                <w:lang w:bidi="ar"/>
              </w:rPr>
              <w:t>土地利用格局</w:t>
            </w:r>
            <w:r>
              <w:rPr>
                <w:rFonts w:hint="eastAsia"/>
                <w:color w:val="auto"/>
                <w:sz w:val="24"/>
                <w:highlight w:val="none"/>
                <w:lang w:val="en-US" w:eastAsia="zh-CN" w:bidi="ar"/>
              </w:rPr>
              <w:t>未产生</w:t>
            </w:r>
            <w:r>
              <w:rPr>
                <w:color w:val="auto"/>
                <w:sz w:val="24"/>
                <w:highlight w:val="none"/>
                <w:lang w:bidi="ar"/>
              </w:rPr>
              <w:t>影响。</w:t>
            </w:r>
          </w:p>
          <w:p w14:paraId="13B159D7">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val="en-US" w:eastAsia="zh-CN"/>
              </w:rPr>
            </w:pPr>
            <w:r>
              <w:rPr>
                <w:rFonts w:hint="eastAsia"/>
                <w:color w:val="auto"/>
                <w:highlight w:val="none"/>
                <w:lang w:val="en-US" w:eastAsia="zh-CN"/>
              </w:rPr>
              <w:t>对植被的影响分析</w:t>
            </w:r>
          </w:p>
          <w:p w14:paraId="66B236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color w:val="auto"/>
                <w:sz w:val="24"/>
                <w:szCs w:val="24"/>
                <w:highlight w:val="none"/>
                <w:lang w:val="en-US" w:eastAsia="zh-CN"/>
              </w:rPr>
              <w:t>1</w:t>
            </w:r>
            <w:r>
              <w:rPr>
                <w:color w:val="auto"/>
                <w:sz w:val="24"/>
                <w:szCs w:val="24"/>
                <w:highlight w:val="none"/>
              </w:rPr>
              <w:t>）边缘效应的影响</w:t>
            </w:r>
          </w:p>
          <w:p w14:paraId="50C4A571">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color w:val="auto"/>
                <w:sz w:val="24"/>
                <w:szCs w:val="24"/>
                <w:highlight w:val="none"/>
                <w:lang w:eastAsia="zh-CN"/>
              </w:rPr>
            </w:pPr>
            <w:r>
              <w:rPr>
                <w:rFonts w:hint="eastAsia"/>
                <w:color w:val="auto"/>
                <w:sz w:val="24"/>
                <w:szCs w:val="24"/>
                <w:highlight w:val="none"/>
                <w:lang w:eastAsia="zh-CN"/>
              </w:rPr>
              <w:t>公路建成后，本项目所在区域土地类型以农田为主，产生的边缘效应基本不会改变项目两侧的植被类型，公路边缘效应在农田区不明显。</w:t>
            </w:r>
          </w:p>
          <w:p w14:paraId="66CF55D6">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2）外来物种对当地生态系统的影响</w:t>
            </w:r>
          </w:p>
          <w:p w14:paraId="2385E412">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公路建成运营，使评价区内交通条件得到改善，区内车流量及人口流动性也将增加。虽然本地区气候环境恶劣，大部分植物种类在本区域内无法生存，但应于运营期注意外来物种入侵，以减少其带来的生态和经济损失。</w:t>
            </w:r>
          </w:p>
          <w:p w14:paraId="73CF0507">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对动物的影响</w:t>
            </w:r>
          </w:p>
          <w:p w14:paraId="74BECCE8">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1）生境片段化对动物的影响</w:t>
            </w:r>
          </w:p>
          <w:p w14:paraId="2079030C">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项目为改扩建公路，建成后对现有野生动物生境分割影响不明显，线路两侧途经区域大部分为农田生境。根据调查情况，项目建设直接经过地区无大型野生动物栖息地，因此动物生境生境片断化对动物影响不大。</w:t>
            </w:r>
          </w:p>
          <w:p w14:paraId="797022E4">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2）对动物活动阻隔的影响</w:t>
            </w:r>
          </w:p>
          <w:p w14:paraId="2DEAAC7F">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公路作为一种线性结构，建成后形成一道屏障，使得动物栖息地破碎化，并对两侧的动物形成了阻隔，并且产生明显的公路廊道效应，对部分陆生动物的活动区域、栖食区域、觅食范围、求偶繁殖等会产生一定的限制。本项目所在区域为平原区，以农田生态系统为主。区域常见物种无大型野生动物分布，以小型兽类、两栖、爬行类为主，栖息地广泛分布在农田和草地内，且农田为人工植被，具有区块分割特点。此外，本项目共设置桥梁</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座、涵洞12道，可充分发挥通行作用，消除因公路建设而产生的分离和阻隔，故公路阻隔对动物影响很小。</w:t>
            </w:r>
          </w:p>
          <w:p w14:paraId="195ADEBE">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对景观的影响</w:t>
            </w:r>
          </w:p>
          <w:p w14:paraId="656D0B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拟建项目施工期建筑及工程施工活动频繁，对作业区景观环境影响较大，主要表现为工程填挖作业对地表植被的破坏，使局部地形、地貌景观破碎化程度加剧，进而使景观性质发生改变，景观异质性明显增强。</w:t>
            </w:r>
          </w:p>
          <w:p w14:paraId="7F4BAD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公路建设过程中将产生一定数量的裸露边坡，对视觉景观产生一定影响，并造成水土流失。裸露地表和沿线清秀的自然景观产生明显的视觉反差。如果在施工中随意扩大施工作业面积、乱砍滥伐树木。将使地表裸露段的视觉反差更大。虽然施工期临时工程对景观的影响无法避免，但也是暂时的，随着施工结束后，通过对土地的恢复及绿化美化等措施，可以消除其影响。</w:t>
            </w:r>
          </w:p>
          <w:p w14:paraId="5B2240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rPr>
            </w:pPr>
            <w:r>
              <w:rPr>
                <w:rFonts w:hint="eastAsia"/>
                <w:color w:val="auto"/>
                <w:highlight w:val="none"/>
              </w:rPr>
              <w:t>综上所述，本项目运营期对生态环境的影响可以接受。</w:t>
            </w:r>
          </w:p>
          <w:p w14:paraId="42E555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rPr>
            </w:pPr>
            <w:r>
              <w:rPr>
                <w:rFonts w:hint="eastAsia"/>
                <w:color w:val="auto"/>
                <w:highlight w:val="none"/>
              </w:rPr>
              <w:t>运营期生态环境影响分析详见</w:t>
            </w:r>
            <w:r>
              <w:rPr>
                <w:color w:val="auto"/>
                <w:highlight w:val="none"/>
              </w:rPr>
              <w:t>《</w:t>
            </w:r>
            <w:r>
              <w:rPr>
                <w:rFonts w:hint="eastAsia"/>
                <w:color w:val="auto"/>
                <w:highlight w:val="none"/>
              </w:rPr>
              <w:t>生态影响专项评价报告</w:t>
            </w:r>
            <w:r>
              <w:rPr>
                <w:color w:val="auto"/>
                <w:highlight w:val="none"/>
              </w:rPr>
              <w:t>》</w:t>
            </w:r>
            <w:r>
              <w:rPr>
                <w:rFonts w:hint="eastAsia"/>
                <w:color w:val="auto"/>
                <w:highlight w:val="none"/>
              </w:rPr>
              <w:t>。</w:t>
            </w:r>
          </w:p>
          <w:p w14:paraId="64300D6F">
            <w:pPr>
              <w:adjustRightInd w:val="0"/>
              <w:snapToGrid w:val="0"/>
              <w:spacing w:line="480" w:lineRule="exact"/>
              <w:ind w:firstLine="482"/>
              <w:rPr>
                <w:b/>
                <w:color w:val="auto"/>
                <w:highlight w:val="none"/>
              </w:rPr>
            </w:pPr>
            <w:r>
              <w:rPr>
                <w:rFonts w:hint="eastAsia"/>
                <w:b/>
                <w:color w:val="auto"/>
                <w:highlight w:val="none"/>
              </w:rPr>
              <w:t>2、</w:t>
            </w:r>
            <w:r>
              <w:rPr>
                <w:b/>
                <w:color w:val="auto"/>
                <w:highlight w:val="none"/>
              </w:rPr>
              <w:t>声环境</w:t>
            </w:r>
          </w:p>
          <w:p w14:paraId="1EAC65CF">
            <w:pPr>
              <w:adjustRightInd w:val="0"/>
              <w:snapToGrid w:val="0"/>
              <w:spacing w:line="480" w:lineRule="exact"/>
              <w:ind w:firstLine="480"/>
              <w:rPr>
                <w:color w:val="auto"/>
                <w:highlight w:val="none"/>
              </w:rPr>
            </w:pPr>
            <w:r>
              <w:rPr>
                <w:rFonts w:hint="eastAsia"/>
                <w:color w:val="auto"/>
                <w:highlight w:val="none"/>
              </w:rPr>
              <w:t>本项目设置声环境影响专项评价，主要结论概括如下：</w:t>
            </w:r>
          </w:p>
          <w:p w14:paraId="74188EE4">
            <w:pPr>
              <w:adjustRightInd w:val="0"/>
              <w:snapToGrid w:val="0"/>
              <w:spacing w:line="480" w:lineRule="exact"/>
              <w:ind w:firstLine="480"/>
              <w:rPr>
                <w:color w:val="auto"/>
                <w:highlight w:val="none"/>
              </w:rPr>
            </w:pPr>
            <w:r>
              <w:rPr>
                <w:rFonts w:hint="eastAsia"/>
                <w:color w:val="auto"/>
                <w:highlight w:val="none"/>
              </w:rPr>
              <w:t>本项目不考虑建筑物和树林遮挡屏蔽、背景噪声、路基高差等因素，考虑地面衰减和空气吸收衰减，运营期路段功能区均达标情况如下：</w:t>
            </w:r>
          </w:p>
          <w:p w14:paraId="07C28D7D">
            <w:pPr>
              <w:pStyle w:val="2"/>
              <w:spacing w:line="480" w:lineRule="exact"/>
              <w:ind w:firstLine="480" w:firstLineChars="200"/>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rPr>
              <w:t>前回春岭</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程家油坊左侧</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程家油坊右侧</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老房屯</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樊家窝棚</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长荣村</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丛家屯</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三合屯</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双堡村</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长江村左侧</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长江村右侧</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万宝山2类区内居民住宅昼间</w:t>
            </w:r>
            <w:r>
              <w:rPr>
                <w:rFonts w:hint="eastAsia" w:ascii="Times New Roman" w:hAnsi="Times New Roman"/>
                <w:color w:val="auto"/>
                <w:sz w:val="24"/>
                <w:highlight w:val="none"/>
                <w:lang w:val="en-US" w:eastAsia="zh-CN"/>
              </w:rPr>
              <w:t>和夜间</w:t>
            </w:r>
            <w:r>
              <w:rPr>
                <w:rFonts w:hint="eastAsia" w:ascii="Times New Roman" w:hAnsi="Times New Roman"/>
                <w:color w:val="auto"/>
                <w:sz w:val="24"/>
                <w:highlight w:val="none"/>
              </w:rPr>
              <w:t>近、中、远期均</w:t>
            </w:r>
            <w:r>
              <w:rPr>
                <w:rFonts w:ascii="Times New Roman" w:hAnsi="Times New Roman"/>
                <w:color w:val="auto"/>
                <w:sz w:val="24"/>
                <w:highlight w:val="none"/>
              </w:rPr>
              <w:t>满足</w:t>
            </w:r>
            <w:r>
              <w:rPr>
                <w:rFonts w:hint="eastAsia" w:ascii="Times New Roman" w:hAnsi="Times New Roman"/>
                <w:color w:val="auto"/>
                <w:sz w:val="24"/>
                <w:highlight w:val="none"/>
              </w:rPr>
              <w:t>《声环境质量标准》中2类</w:t>
            </w:r>
            <w:r>
              <w:rPr>
                <w:rFonts w:ascii="Times New Roman" w:hAnsi="Times New Roman"/>
                <w:color w:val="auto"/>
                <w:sz w:val="24"/>
                <w:highlight w:val="none"/>
              </w:rPr>
              <w:t>标准</w:t>
            </w:r>
            <w:r>
              <w:rPr>
                <w:rFonts w:hint="eastAsia" w:ascii="Times New Roman" w:hAnsi="Times New Roman"/>
                <w:color w:val="auto"/>
                <w:sz w:val="24"/>
                <w:highlight w:val="none"/>
                <w:lang w:eastAsia="zh-CN"/>
              </w:rPr>
              <w:t>。</w:t>
            </w:r>
          </w:p>
          <w:p w14:paraId="5ACE6436">
            <w:pPr>
              <w:adjustRightInd w:val="0"/>
              <w:snapToGrid w:val="0"/>
              <w:spacing w:line="480" w:lineRule="exact"/>
              <w:ind w:firstLine="482"/>
              <w:rPr>
                <w:b/>
                <w:color w:val="auto"/>
                <w:highlight w:val="none"/>
              </w:rPr>
            </w:pPr>
            <w:r>
              <w:rPr>
                <w:rFonts w:hint="eastAsia"/>
                <w:b/>
                <w:color w:val="auto"/>
                <w:highlight w:val="none"/>
              </w:rPr>
              <w:t>3、</w:t>
            </w:r>
            <w:r>
              <w:rPr>
                <w:b/>
                <w:color w:val="auto"/>
                <w:highlight w:val="none"/>
              </w:rPr>
              <w:t>环境空气</w:t>
            </w:r>
          </w:p>
          <w:p w14:paraId="4B8C61F7">
            <w:pPr>
              <w:adjustRightInd w:val="0"/>
              <w:snapToGrid w:val="0"/>
              <w:spacing w:line="480" w:lineRule="exact"/>
              <w:ind w:firstLine="480"/>
              <w:rPr>
                <w:color w:val="auto"/>
                <w:highlight w:val="none"/>
              </w:rPr>
            </w:pPr>
            <w:r>
              <w:rPr>
                <w:rFonts w:hint="eastAsia"/>
                <w:color w:val="auto"/>
                <w:highlight w:val="none"/>
              </w:rPr>
              <w:t>（1）汽车尾气</w:t>
            </w:r>
          </w:p>
          <w:p w14:paraId="3FBE676F">
            <w:pPr>
              <w:adjustRightInd w:val="0"/>
              <w:snapToGrid w:val="0"/>
              <w:spacing w:line="480" w:lineRule="exact"/>
              <w:ind w:firstLine="480"/>
              <w:rPr>
                <w:color w:val="auto"/>
                <w:highlight w:val="none"/>
              </w:rPr>
            </w:pPr>
            <w:r>
              <w:rPr>
                <w:rFonts w:hint="eastAsia"/>
                <w:color w:val="auto"/>
                <w:highlight w:val="none"/>
              </w:rPr>
              <w:t>本项目运营期废气主要为汽车尾气，污染物主要为CO、NOx等，放浓度主要与气候有关，特别是风速。根据类比《国道丹东至阿勒泰公路绥芬河（永胜）至绥阳（东大满）段改扩建工程建设项目竣工环境保护验收调查表》，风速</w:t>
            </w:r>
            <w:r>
              <w:rPr>
                <w:color w:val="auto"/>
                <w:highlight w:val="none"/>
              </w:rPr>
              <w:fldChar w:fldCharType="begin"/>
            </w:r>
            <w:r>
              <w:rPr>
                <w:color w:val="auto"/>
                <w:highlight w:val="none"/>
              </w:rPr>
              <w:instrText xml:space="preserve"> HYPERLINK "http://www.baidu.com/link?url=UfRz83P8ILlic4ODv1RL03lx7bb70vRvobQLUqZmfR8g7tFl_07lC-QMD5IMgmVT5Vfkvq4F1smNLSrbjh96tq" \t "https://www.baidu.com/_blank" </w:instrText>
            </w:r>
            <w:r>
              <w:rPr>
                <w:color w:val="auto"/>
                <w:highlight w:val="none"/>
              </w:rPr>
              <w:fldChar w:fldCharType="separate"/>
            </w:r>
            <w:r>
              <w:rPr>
                <w:rFonts w:hint="eastAsia"/>
                <w:color w:val="auto"/>
                <w:highlight w:val="none"/>
              </w:rPr>
              <w:t>&lt;</w:t>
            </w:r>
            <w:r>
              <w:rPr>
                <w:rFonts w:hint="eastAsia"/>
                <w:color w:val="auto"/>
                <w:highlight w:val="none"/>
              </w:rPr>
              <w:fldChar w:fldCharType="end"/>
            </w:r>
            <w:r>
              <w:rPr>
                <w:rFonts w:hint="eastAsia"/>
                <w:color w:val="auto"/>
                <w:highlight w:val="none"/>
              </w:rPr>
              <w:t>5m/s时，距高速公路10m处，CO浓度为7.65mg/(km</w:t>
            </w:r>
            <w:r>
              <w:rPr>
                <w:color w:val="auto"/>
                <w:highlight w:val="none"/>
              </w:rPr>
              <w:t>·</w:t>
            </w:r>
            <w:r>
              <w:rPr>
                <w:rFonts w:hint="eastAsia"/>
                <w:color w:val="auto"/>
                <w:highlight w:val="none"/>
              </w:rPr>
              <w:t>h)、NOx浓度为0.11mg/(km</w:t>
            </w:r>
            <w:r>
              <w:rPr>
                <w:color w:val="auto"/>
                <w:highlight w:val="none"/>
              </w:rPr>
              <w:t>·</w:t>
            </w:r>
            <w:r>
              <w:rPr>
                <w:rFonts w:hint="eastAsia"/>
                <w:color w:val="auto"/>
                <w:highlight w:val="none"/>
              </w:rPr>
              <w:t>h)，可满足《大气污染物综合排放标准》（GB 16297-1996）。</w:t>
            </w:r>
          </w:p>
          <w:p w14:paraId="5BC43B33">
            <w:pPr>
              <w:adjustRightInd w:val="0"/>
              <w:snapToGrid w:val="0"/>
              <w:spacing w:line="480" w:lineRule="exact"/>
              <w:ind w:firstLine="480"/>
              <w:rPr>
                <w:color w:val="auto"/>
                <w:highlight w:val="none"/>
              </w:rPr>
            </w:pPr>
            <w:r>
              <w:rPr>
                <w:rFonts w:hint="eastAsia"/>
                <w:color w:val="auto"/>
                <w:highlight w:val="none"/>
              </w:rPr>
              <w:t>因此，本项目运营期废气对周围环境影响较小。</w:t>
            </w:r>
          </w:p>
          <w:p w14:paraId="3A127F97">
            <w:pPr>
              <w:adjustRightInd w:val="0"/>
              <w:snapToGrid w:val="0"/>
              <w:spacing w:line="480" w:lineRule="exact"/>
              <w:ind w:firstLine="482"/>
              <w:rPr>
                <w:b/>
                <w:color w:val="auto"/>
                <w:highlight w:val="none"/>
              </w:rPr>
            </w:pPr>
            <w:r>
              <w:rPr>
                <w:rFonts w:hint="eastAsia"/>
                <w:b/>
                <w:color w:val="auto"/>
                <w:highlight w:val="none"/>
              </w:rPr>
              <w:t>4、</w:t>
            </w:r>
            <w:r>
              <w:rPr>
                <w:b/>
                <w:color w:val="auto"/>
                <w:highlight w:val="none"/>
              </w:rPr>
              <w:t>水环境</w:t>
            </w:r>
          </w:p>
          <w:p w14:paraId="426788DB">
            <w:pPr>
              <w:adjustRightInd w:val="0"/>
              <w:snapToGrid w:val="0"/>
              <w:spacing w:line="480" w:lineRule="exact"/>
              <w:ind w:firstLine="480"/>
              <w:rPr>
                <w:color w:val="auto"/>
                <w:highlight w:val="none"/>
              </w:rPr>
            </w:pPr>
            <w:r>
              <w:rPr>
                <w:rFonts w:hint="eastAsia"/>
                <w:color w:val="auto"/>
                <w:highlight w:val="none"/>
              </w:rPr>
              <w:t>（1）路面径流</w:t>
            </w:r>
          </w:p>
          <w:p w14:paraId="7B60D4A3">
            <w:pPr>
              <w:adjustRightInd w:val="0"/>
              <w:snapToGrid w:val="0"/>
              <w:spacing w:line="480" w:lineRule="exact"/>
              <w:ind w:firstLine="480"/>
              <w:rPr>
                <w:color w:val="auto"/>
                <w:highlight w:val="none"/>
              </w:rPr>
            </w:pPr>
            <w:r>
              <w:rPr>
                <w:rFonts w:hint="eastAsia"/>
                <w:color w:val="auto"/>
                <w:highlight w:val="none"/>
              </w:rPr>
              <w:t>营运期废水主要来自于路面径流污水，其主要污染物主要为COD、SS等，污染物浓度受限于多种因素，如车流量、车辆类型、降雨强度等，因此具有一定程度不确定性。</w:t>
            </w:r>
          </w:p>
          <w:p w14:paraId="61E3E8DE">
            <w:pPr>
              <w:adjustRightInd w:val="0"/>
              <w:snapToGrid w:val="0"/>
              <w:spacing w:line="480" w:lineRule="exact"/>
              <w:ind w:firstLine="480"/>
              <w:rPr>
                <w:color w:val="auto"/>
                <w:highlight w:val="none"/>
              </w:rPr>
            </w:pPr>
            <w:r>
              <w:rPr>
                <w:rFonts w:hint="eastAsia"/>
                <w:color w:val="auto"/>
                <w:highlight w:val="none"/>
              </w:rPr>
              <w:t>根据西安道路学院环境工程研究所多次测定给出的路面径流产生的污水污染物浓度值，降雨初期到形成路面径流前30分钟，径流中悬浮物和石油类物质浓度较高，30分钟后污染物浓度随降雨历时延长逐渐降低。本工程路面径流通过路面漫流汇入道路两侧排水沟，伴随着雨水稀释、泥沙对污染物吸附、沉降等各种作用，雨水在边沟汇入周边水系时，污染物浓度已经大大降低，不会对周边地表水造成影响。</w:t>
            </w:r>
          </w:p>
          <w:p w14:paraId="313D511E">
            <w:pPr>
              <w:adjustRightInd w:val="0"/>
              <w:snapToGrid w:val="0"/>
              <w:spacing w:line="480" w:lineRule="exact"/>
              <w:ind w:firstLine="480"/>
              <w:rPr>
                <w:color w:val="auto"/>
                <w:highlight w:val="none"/>
              </w:rPr>
            </w:pPr>
            <w:r>
              <w:rPr>
                <w:rFonts w:hint="eastAsia"/>
                <w:color w:val="auto"/>
                <w:highlight w:val="none"/>
              </w:rPr>
              <w:t>综上，本项目运营期对地表水环境影响较小。</w:t>
            </w:r>
          </w:p>
          <w:p w14:paraId="7D273976">
            <w:pPr>
              <w:adjustRightInd w:val="0"/>
              <w:snapToGrid w:val="0"/>
              <w:spacing w:line="480" w:lineRule="exact"/>
              <w:ind w:firstLine="482"/>
              <w:rPr>
                <w:b/>
                <w:color w:val="auto"/>
                <w:highlight w:val="none"/>
              </w:rPr>
            </w:pPr>
            <w:r>
              <w:rPr>
                <w:rFonts w:hint="eastAsia"/>
                <w:b/>
                <w:color w:val="auto"/>
                <w:highlight w:val="none"/>
                <w:lang w:val="en-US" w:eastAsia="zh-CN"/>
              </w:rPr>
              <w:t>5</w:t>
            </w:r>
            <w:r>
              <w:rPr>
                <w:rFonts w:hint="eastAsia"/>
                <w:b/>
                <w:color w:val="auto"/>
                <w:highlight w:val="none"/>
              </w:rPr>
              <w:t>、环境风险</w:t>
            </w:r>
          </w:p>
          <w:p w14:paraId="11FC92CE">
            <w:pPr>
              <w:adjustRightInd w:val="0"/>
              <w:snapToGrid w:val="0"/>
              <w:spacing w:line="480" w:lineRule="exact"/>
              <w:ind w:firstLine="480"/>
              <w:rPr>
                <w:color w:val="auto"/>
                <w:highlight w:val="none"/>
              </w:rPr>
            </w:pPr>
            <w:r>
              <w:rPr>
                <w:rFonts w:hint="eastAsia"/>
                <w:color w:val="auto"/>
                <w:highlight w:val="none"/>
              </w:rPr>
              <w:t>本项目运营期主要污染为汽车尾气和路面径流污水，一般情况下，道路对沿线区域的环境质量不会造成不利影响。然而，由于公路上行驶车辆难免因各种原因发生意外，造成车辆颠覆，从而导致货物破损和人员伤亡。公路运输易燃易爆危险品过程中，一旦发生事故很难及时扑救，对环境造成一定影响；对于运输有毒气体车辆泄漏事故，因其排放总量小，只要人员及时撤离到一定的距离就可避免伤亡，对已排泄到空气的有毒气体只能靠大气扩散、稀释逐渐降低有毒气体浓度；对环境危害最大的是有毒有害物质进入地表水体和土壤环境中。对本项目而言，</w:t>
            </w:r>
            <w:r>
              <w:rPr>
                <w:rFonts w:hint="eastAsia"/>
                <w:color w:val="auto"/>
                <w:highlight w:val="none"/>
                <w:lang w:val="en-US" w:eastAsia="zh-CN"/>
              </w:rPr>
              <w:t>本项目不涉及跨越地表水体，不</w:t>
            </w:r>
            <w:r>
              <w:rPr>
                <w:rFonts w:hint="eastAsia"/>
                <w:color w:val="auto"/>
                <w:highlight w:val="none"/>
              </w:rPr>
              <w:t>会导致地表水体和土壤环境遭受污染。</w:t>
            </w:r>
          </w:p>
          <w:p w14:paraId="1CE10A32">
            <w:pPr>
              <w:ind w:firstLine="480"/>
              <w:rPr>
                <w:color w:val="auto"/>
                <w:highlight w:val="none"/>
              </w:rPr>
            </w:pPr>
          </w:p>
        </w:tc>
      </w:tr>
      <w:tr w14:paraId="1DC5D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Align w:val="center"/>
          </w:tcPr>
          <w:p w14:paraId="14FF091F">
            <w:pPr>
              <w:ind w:firstLine="0" w:firstLineChars="0"/>
              <w:jc w:val="center"/>
              <w:rPr>
                <w:color w:val="auto"/>
                <w:highlight w:val="none"/>
              </w:rPr>
            </w:pPr>
            <w:r>
              <w:rPr>
                <w:color w:val="auto"/>
                <w:highlight w:val="none"/>
              </w:rPr>
              <w:t>选址选线环境合理性分析</w:t>
            </w:r>
          </w:p>
        </w:tc>
        <w:tc>
          <w:tcPr>
            <w:tcW w:w="4647" w:type="pct"/>
          </w:tcPr>
          <w:p w14:paraId="3DF259CB">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rFonts w:hint="eastAsia"/>
                <w:b/>
                <w:color w:val="auto"/>
                <w:highlight w:val="none"/>
              </w:rPr>
              <w:t>1、选线环境合理性分析</w:t>
            </w:r>
          </w:p>
          <w:p w14:paraId="5AAB7C5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 xml:space="preserve">环境制约因素分析 </w:t>
            </w:r>
          </w:p>
          <w:p w14:paraId="1B7C593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本项目属于改建公路工程，本工程路线长度</w:t>
            </w:r>
            <w:r>
              <w:rPr>
                <w:rFonts w:hint="eastAsia" w:cs="Times New Roman"/>
                <w:color w:val="auto"/>
                <w:sz w:val="24"/>
                <w:szCs w:val="24"/>
                <w:highlight w:val="none"/>
                <w:lang w:val="en-US" w:eastAsia="zh-CN"/>
              </w:rPr>
              <w:t>18.777</w:t>
            </w:r>
            <w:r>
              <w:rPr>
                <w:rFonts w:hint="default" w:ascii="Times New Roman" w:hAnsi="Times New Roman" w:eastAsia="宋体" w:cs="Times New Roman"/>
                <w:color w:val="auto"/>
                <w:sz w:val="24"/>
                <w:szCs w:val="24"/>
                <w:highlight w:val="none"/>
              </w:rPr>
              <w:t>km，本工程永久占地类型为原有旧路建设用地，占地面积</w:t>
            </w:r>
            <w:r>
              <w:rPr>
                <w:rFonts w:hint="eastAsia"/>
                <w:color w:val="auto"/>
                <w:highlight w:val="none"/>
              </w:rPr>
              <w:t>230183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未新增占地，</w:t>
            </w:r>
            <w:r>
              <w:rPr>
                <w:rFonts w:hint="default" w:ascii="Times New Roman" w:hAnsi="Times New Roman" w:eastAsia="宋体" w:cs="Times New Roman"/>
                <w:color w:val="auto"/>
                <w:sz w:val="24"/>
                <w:szCs w:val="24"/>
                <w:highlight w:val="none"/>
              </w:rPr>
              <w:t>项目道路不涉及生态保护红线及其他敏感区域，所在区域也没有重点保护动植物。在做好文明施工、施工后及时恢复现状，项目的建设基本上不存在环境制约因素。</w:t>
            </w:r>
          </w:p>
          <w:p w14:paraId="35EA789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路线方案的选址合理性分析</w:t>
            </w:r>
          </w:p>
          <w:p w14:paraId="2F87F5E2">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sz w:val="24"/>
                <w:szCs w:val="24"/>
                <w:highlight w:val="none"/>
                <w:lang w:val="en-US" w:eastAsia="zh-CN"/>
              </w:rPr>
            </w:pPr>
            <w:r>
              <w:rPr>
                <w:rFonts w:hint="eastAsia"/>
                <w:color w:val="auto"/>
                <w:highlight w:val="none"/>
              </w:rPr>
              <w:t>本项目</w:t>
            </w:r>
            <w:r>
              <w:rPr>
                <w:rFonts w:hint="eastAsia"/>
                <w:color w:val="auto"/>
                <w:highlight w:val="none"/>
                <w:lang w:val="en-US" w:eastAsia="zh-CN"/>
              </w:rPr>
              <w:t>为公路改、扩建项目，</w:t>
            </w:r>
            <w:r>
              <w:rPr>
                <w:rFonts w:hint="eastAsia"/>
                <w:color w:val="auto"/>
                <w:highlight w:val="none"/>
              </w:rPr>
              <w:t>路线全长18.777Km，</w:t>
            </w:r>
            <w:r>
              <w:rPr>
                <w:rFonts w:hint="eastAsia"/>
                <w:color w:val="auto"/>
                <w:highlight w:val="none"/>
                <w:lang w:val="en-US" w:eastAsia="zh-CN"/>
              </w:rPr>
              <w:t>全部</w:t>
            </w:r>
            <w:r>
              <w:rPr>
                <w:rFonts w:hint="eastAsia"/>
                <w:color w:val="auto"/>
                <w:highlight w:val="none"/>
              </w:rPr>
              <w:t>利用旧路提质升级</w:t>
            </w:r>
            <w:r>
              <w:rPr>
                <w:rFonts w:hint="eastAsia"/>
                <w:color w:val="auto"/>
                <w:highlight w:val="none"/>
                <w:lang w:eastAsia="zh-CN"/>
              </w:rPr>
              <w:t>。</w:t>
            </w:r>
            <w:r>
              <w:rPr>
                <w:rFonts w:hint="eastAsia"/>
                <w:color w:val="auto"/>
                <w:highlight w:val="none"/>
                <w:lang w:val="en-US" w:eastAsia="zh-CN"/>
              </w:rPr>
              <w:t>采用三级公路标准，设计速度30</w:t>
            </w:r>
            <w:r>
              <w:rPr>
                <w:color w:val="auto"/>
                <w:highlight w:val="none"/>
              </w:rPr>
              <w:t>km/h</w:t>
            </w:r>
            <w:r>
              <w:rPr>
                <w:rFonts w:hint="eastAsia"/>
                <w:color w:val="auto"/>
                <w:highlight w:val="none"/>
                <w:lang w:eastAsia="zh-CN"/>
              </w:rPr>
              <w:t>，</w:t>
            </w:r>
            <w:r>
              <w:rPr>
                <w:rFonts w:hint="eastAsia"/>
                <w:color w:val="auto"/>
                <w:highlight w:val="none"/>
                <w:lang w:val="en-US" w:eastAsia="zh-CN"/>
              </w:rPr>
              <w:t>双向两车道，水泥混凝土路面，路基宽度采用7.5m。</w:t>
            </w:r>
            <w:r>
              <w:rPr>
                <w:rFonts w:hint="eastAsia"/>
                <w:color w:val="auto"/>
                <w:highlight w:val="none"/>
              </w:rPr>
              <w:t>起点K0+000位于前回春岭屯北侧路口处与旧路顺接，沿旧路继续向南前行，途径前回春岭、鞠家油坊、长荣村、三合屯、双堡村、长江乡、万宝山，终点K18+777位于万宝山南侧，与旧路顺接。</w:t>
            </w:r>
            <w:r>
              <w:rPr>
                <w:rFonts w:hint="default" w:ascii="Times New Roman" w:hAnsi="Times New Roman" w:eastAsia="宋体" w:cs="Times New Roman"/>
                <w:color w:val="auto"/>
                <w:sz w:val="24"/>
                <w:szCs w:val="24"/>
                <w:highlight w:val="none"/>
                <w:lang w:val="en-US" w:eastAsia="zh-CN"/>
              </w:rPr>
              <w:t>受土地类别、地形条件、路网规划等条件限制，走廊带唯一，路线控制点明确，走向清晰。因此本项目路线方案不进行比选。</w:t>
            </w:r>
          </w:p>
          <w:p w14:paraId="0BEF66B8">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rFonts w:hint="eastAsia"/>
                <w:b/>
                <w:color w:val="auto"/>
                <w:highlight w:val="none"/>
              </w:rPr>
              <w:t>2、临时工程选址环境合理性</w:t>
            </w:r>
          </w:p>
          <w:p w14:paraId="17CBEB1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根据《自然资源部关于规范临时用地管理的通知》（自然资规〔2021〕2号）“建设项目施工、地质勘查使用临时用地时应坚持“用多少、批多少、占多少、恢复多少”，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使用期限一般不超过两年。建设周期较长的能源、交通、水利等基础设施建设项目施工使用的临时用地，期限不超过四年。”</w:t>
            </w:r>
          </w:p>
          <w:p w14:paraId="2D2099A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highlight w:val="none"/>
                <w:lang w:eastAsia="zh-CN"/>
              </w:rPr>
            </w:pPr>
            <w:r>
              <w:rPr>
                <w:rFonts w:hint="eastAsia"/>
                <w:color w:val="auto"/>
                <w:highlight w:val="none"/>
              </w:rPr>
              <w:t>本项目</w:t>
            </w:r>
            <w:r>
              <w:rPr>
                <w:rFonts w:hint="eastAsia"/>
                <w:color w:val="auto"/>
                <w:highlight w:val="none"/>
                <w:lang w:val="en-US" w:eastAsia="zh-CN"/>
              </w:rPr>
              <w:t>未新增临时占地，</w:t>
            </w:r>
            <w:r>
              <w:rPr>
                <w:rFonts w:hint="eastAsia"/>
                <w:color w:val="auto"/>
                <w:highlight w:val="none"/>
              </w:rPr>
              <w:t>不占用国家级公益林，临时工程均不涉及特殊及生态保护红线、饮用水水源保护区、自然保护区、森林公园及基本农田等环境敏感区</w:t>
            </w:r>
            <w:r>
              <w:rPr>
                <w:rFonts w:hint="eastAsia"/>
                <w:color w:val="auto"/>
                <w:highlight w:val="none"/>
                <w:lang w:eastAsia="zh-CN"/>
              </w:rPr>
              <w:t>。</w:t>
            </w:r>
          </w:p>
          <w:p w14:paraId="7B185DEF">
            <w:pPr>
              <w:pStyle w:val="2"/>
              <w:rPr>
                <w:rFonts w:hint="eastAsia"/>
                <w:color w:val="auto"/>
                <w:highlight w:val="none"/>
                <w:lang w:eastAsia="zh-CN"/>
              </w:rPr>
            </w:pPr>
          </w:p>
          <w:p w14:paraId="3E8C9392">
            <w:pPr>
              <w:pStyle w:val="3"/>
              <w:rPr>
                <w:rFonts w:hint="eastAsia"/>
                <w:color w:val="auto"/>
                <w:highlight w:val="none"/>
                <w:lang w:eastAsia="zh-CN"/>
              </w:rPr>
            </w:pPr>
          </w:p>
          <w:p w14:paraId="198CE9DA">
            <w:pPr>
              <w:pStyle w:val="4"/>
              <w:rPr>
                <w:rFonts w:hint="eastAsia"/>
                <w:color w:val="auto"/>
                <w:highlight w:val="none"/>
                <w:lang w:eastAsia="zh-CN"/>
              </w:rPr>
            </w:pPr>
          </w:p>
          <w:p w14:paraId="711A05DE">
            <w:pPr>
              <w:pStyle w:val="3"/>
              <w:rPr>
                <w:rFonts w:hint="eastAsia"/>
                <w:color w:val="auto"/>
                <w:highlight w:val="none"/>
                <w:lang w:eastAsia="zh-CN"/>
              </w:rPr>
            </w:pPr>
          </w:p>
          <w:p w14:paraId="443E2439">
            <w:pPr>
              <w:pStyle w:val="4"/>
              <w:rPr>
                <w:rFonts w:hint="eastAsia"/>
                <w:color w:val="auto"/>
                <w:highlight w:val="none"/>
                <w:lang w:eastAsia="zh-CN"/>
              </w:rPr>
            </w:pPr>
          </w:p>
          <w:p w14:paraId="46F75CE7">
            <w:pPr>
              <w:rPr>
                <w:rFonts w:hint="eastAsia"/>
                <w:color w:val="auto"/>
                <w:highlight w:val="none"/>
                <w:lang w:eastAsia="zh-CN"/>
              </w:rPr>
            </w:pPr>
          </w:p>
          <w:p w14:paraId="7409A932">
            <w:pPr>
              <w:adjustRightInd w:val="0"/>
              <w:snapToGrid w:val="0"/>
              <w:spacing w:line="480" w:lineRule="exact"/>
              <w:ind w:firstLine="480"/>
              <w:rPr>
                <w:color w:val="auto"/>
                <w:highlight w:val="none"/>
              </w:rPr>
            </w:pPr>
          </w:p>
        </w:tc>
      </w:tr>
    </w:tbl>
    <w:p w14:paraId="6174CB82">
      <w:pPr>
        <w:ind w:firstLine="720"/>
        <w:jc w:val="center"/>
        <w:rPr>
          <w:rFonts w:ascii="黑体" w:hAnsi="黑体" w:eastAsia="黑体"/>
          <w:snapToGrid w:val="0"/>
          <w:color w:val="auto"/>
          <w:sz w:val="36"/>
          <w:szCs w:val="36"/>
          <w:highlight w:val="none"/>
        </w:rPr>
        <w:sectPr>
          <w:pgSz w:w="11906" w:h="16838"/>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0FA294F6">
      <w:pPr>
        <w:pStyle w:val="5"/>
        <w:snapToGrid/>
        <w:spacing w:before="0" w:after="0" w:line="360" w:lineRule="auto"/>
        <w:ind w:left="0" w:firstLine="0" w:firstLineChars="0"/>
        <w:jc w:val="center"/>
        <w:rPr>
          <w:b w:val="0"/>
          <w:bCs w:val="0"/>
          <w:color w:val="auto"/>
          <w:highlight w:val="none"/>
        </w:rPr>
      </w:pPr>
      <w:bookmarkStart w:id="13" w:name="_Toc23461"/>
      <w:bookmarkStart w:id="14" w:name="_Toc152588072"/>
      <w:r>
        <w:rPr>
          <w:rFonts w:hint="eastAsia"/>
          <w:b w:val="0"/>
          <w:bCs w:val="0"/>
          <w:color w:val="auto"/>
          <w:highlight w:val="none"/>
        </w:rPr>
        <w:t>五、主要生态环境保护措施</w:t>
      </w:r>
      <w:bookmarkEnd w:id="13"/>
      <w:bookmarkEnd w:id="14"/>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7881"/>
      </w:tblGrid>
      <w:tr w14:paraId="27A2C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336" w:type="pct"/>
            <w:tcMar>
              <w:left w:w="28" w:type="dxa"/>
              <w:right w:w="28" w:type="dxa"/>
            </w:tcMar>
            <w:vAlign w:val="center"/>
          </w:tcPr>
          <w:p w14:paraId="3DA6E510">
            <w:pPr>
              <w:ind w:firstLine="0" w:firstLineChars="0"/>
              <w:jc w:val="center"/>
              <w:rPr>
                <w:color w:val="auto"/>
                <w:highlight w:val="none"/>
              </w:rPr>
            </w:pPr>
            <w:r>
              <w:rPr>
                <w:color w:val="auto"/>
                <w:highlight w:val="none"/>
              </w:rPr>
              <w:t>施工期生态环境保护措施</w:t>
            </w:r>
          </w:p>
        </w:tc>
        <w:tc>
          <w:tcPr>
            <w:tcW w:w="4664" w:type="pct"/>
          </w:tcPr>
          <w:p w14:paraId="12B12EE9">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b/>
                <w:color w:val="auto"/>
                <w:highlight w:val="none"/>
              </w:rPr>
            </w:pPr>
            <w:r>
              <w:rPr>
                <w:b/>
                <w:color w:val="auto"/>
                <w:highlight w:val="none"/>
              </w:rPr>
              <w:t>1、生态环境</w:t>
            </w:r>
          </w:p>
          <w:p w14:paraId="62312E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lang w:val="en-US" w:eastAsia="zh-CN"/>
              </w:rPr>
              <w:t>植被保护</w:t>
            </w:r>
          </w:p>
          <w:p w14:paraId="039F51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lang w:val="en-US" w:eastAsia="zh-CN"/>
              </w:rPr>
              <w:t>严格按照设计文件确定范围征占土地，进行地表植被清理工作；严格控制路基开挖施工作业面，避免超挖破坏周围植被；禁止施工人员、车辆进入非施工占地区域。</w:t>
            </w:r>
          </w:p>
          <w:p w14:paraId="031181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2</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val="en-US" w:eastAsia="zh-CN"/>
              </w:rPr>
              <w:t>优化施工方案，合理安排施工进度，避开雨天施工。</w:t>
            </w:r>
          </w:p>
          <w:p w14:paraId="61D6F4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val="en-US" w:eastAsia="zh-CN"/>
              </w:rPr>
              <w:t>永久占地施工前，做好表层土壤保护，集中堆存，采取覆盖措施，防止水土流失，用于</w:t>
            </w:r>
            <w:r>
              <w:rPr>
                <w:rFonts w:hint="eastAsia" w:ascii="Times New Roman" w:hAnsi="Times New Roman" w:eastAsia="宋体" w:cs="Times New Roman"/>
                <w:color w:val="auto"/>
                <w:spacing w:val="0"/>
                <w:sz w:val="24"/>
                <w:szCs w:val="24"/>
                <w:highlight w:val="none"/>
                <w:lang w:val="en-US" w:eastAsia="zh-CN"/>
              </w:rPr>
              <w:t>后期</w:t>
            </w:r>
            <w:r>
              <w:rPr>
                <w:rFonts w:hint="default" w:ascii="Times New Roman" w:hAnsi="Times New Roman" w:eastAsia="宋体" w:cs="Times New Roman"/>
                <w:color w:val="auto"/>
                <w:spacing w:val="0"/>
                <w:sz w:val="24"/>
                <w:szCs w:val="24"/>
                <w:highlight w:val="none"/>
                <w:lang w:val="en-US" w:eastAsia="zh-CN"/>
              </w:rPr>
              <w:t>绿化及临时占地植被恢复，表土剥离存储满足《黑龙江省黑土地保护利用条例》及《黑龙江省人民政府办公厅关于建设占用耕地耕作层土壤剥离利用工作的指导意见（试行）》（黑政办规〔2021〕18号）要求。</w:t>
            </w:r>
          </w:p>
          <w:p w14:paraId="0526B7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w:t>
            </w:r>
            <w:r>
              <w:rPr>
                <w:rFonts w:hint="eastAsia" w:cs="Times New Roman"/>
                <w:color w:val="auto"/>
                <w:spacing w:val="0"/>
                <w:sz w:val="24"/>
                <w:szCs w:val="24"/>
                <w:highlight w:val="none"/>
                <w:lang w:val="en-US" w:eastAsia="zh-CN"/>
              </w:rPr>
              <w:t>2</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val="en-US" w:eastAsia="zh-CN"/>
              </w:rPr>
              <w:t>野生动物保护</w:t>
            </w:r>
          </w:p>
          <w:p w14:paraId="153591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1）提高施工人员保护意识，遵守《中华人民共和国野生动物保护法》，严禁在施工区及其周围捕猎野生动物；施工过程中若发现重点保护动物，及时护养或放归。</w:t>
            </w:r>
          </w:p>
          <w:p w14:paraId="05E35F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2）根据确定施工用地范围，标桩划界，禁止施工人员、施工机械进入非施工占地区域；非施工区严禁烟火、狩猎和垂钓等活动；禁止施工人员野外用火，使对野生动物的干扰降至最低程度。</w:t>
            </w:r>
          </w:p>
          <w:p w14:paraId="52FB0F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3）做好施工方案和工序安排，合理安排施工时间，尽可能避开野生动物繁殖期施工，避开晨昏、正午大规模、高噪声设备集中作业；加强施工管理，选用低噪声机械，尽量缩短桥梁施工工期。</w:t>
            </w:r>
          </w:p>
          <w:p w14:paraId="61C45F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4）加强环境保护监督管理、统筹安排，设立环境保护监督机构和环保专职人员，加强对施工人员的环保教育，严禁施工人员盗猎野生动物，对违法行为进行依法处置。</w:t>
            </w:r>
          </w:p>
          <w:p w14:paraId="0D365D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（3）水土保持措施</w:t>
            </w:r>
          </w:p>
          <w:p w14:paraId="70D895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施工设计应明确表土、临时堆放方案及水土流失预防措施设计，表土单独堆存，耕作层剥离，坚持“谁用地、谁承担，谁剥离、谁受益”原则。 剥离表土堆场施工前设置相应防护及排水设施，周边设置围挡，表土按照要求层层堆置、逐层碾压，并经常洒水，覆盖篷布，大风天气应暂停堆土场施工。施工后期及时将表土回覆于拟建公路绿化区域，场内植被恢复。本项目剥离表土均暂存至永久占地占地范围内，</w:t>
            </w:r>
            <w:r>
              <w:rPr>
                <w:rFonts w:hint="eastAsia" w:cs="Times New Roman"/>
                <w:color w:val="auto"/>
                <w:spacing w:val="0"/>
                <w:sz w:val="24"/>
                <w:szCs w:val="24"/>
                <w:highlight w:val="none"/>
                <w:lang w:val="en-US" w:eastAsia="zh-CN"/>
              </w:rPr>
              <w:t>未新增</w:t>
            </w:r>
            <w:r>
              <w:rPr>
                <w:rFonts w:hint="eastAsia" w:ascii="Times New Roman" w:hAnsi="Times New Roman" w:eastAsia="宋体" w:cs="Times New Roman"/>
                <w:color w:val="auto"/>
                <w:spacing w:val="0"/>
                <w:sz w:val="24"/>
                <w:szCs w:val="24"/>
                <w:highlight w:val="none"/>
                <w:lang w:val="en-US" w:eastAsia="zh-CN"/>
              </w:rPr>
              <w:t>表土剥离占地，避让永久基本农田及生态敏感区。</w:t>
            </w:r>
          </w:p>
          <w:p w14:paraId="3824A3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做好公路沿线水土保持工作，合理安排工期，尽量避免和减少雨季进行路基开挖，减少土石方和弃方堆放量，严格按照设计和水保措施施工，施工中应完善边沟、灌排渠等排水工程，施工中若造成堵塞，应及时清除。</w:t>
            </w:r>
          </w:p>
          <w:p w14:paraId="2337C9F6">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color w:val="auto"/>
                <w:highlight w:val="none"/>
              </w:rPr>
            </w:pPr>
            <w:r>
              <w:rPr>
                <w:rFonts w:hint="eastAsia"/>
                <w:color w:val="auto"/>
                <w:highlight w:val="none"/>
              </w:rPr>
              <w:t>综上所述，采取上述相应防治措施后，对生态环境影响较小。</w:t>
            </w:r>
          </w:p>
          <w:p w14:paraId="496E5F23">
            <w:pPr>
              <w:adjustRightInd w:val="0"/>
              <w:snapToGrid w:val="0"/>
              <w:spacing w:line="480" w:lineRule="exact"/>
              <w:ind w:firstLine="482"/>
              <w:jc w:val="left"/>
              <w:rPr>
                <w:b/>
                <w:color w:val="auto"/>
                <w:highlight w:val="none"/>
              </w:rPr>
            </w:pPr>
            <w:r>
              <w:rPr>
                <w:rFonts w:hint="eastAsia"/>
                <w:b/>
                <w:color w:val="auto"/>
                <w:highlight w:val="none"/>
              </w:rPr>
              <w:t>2、废气</w:t>
            </w:r>
          </w:p>
          <w:p w14:paraId="14079EF0">
            <w:pPr>
              <w:adjustRightInd w:val="0"/>
              <w:snapToGrid w:val="0"/>
              <w:spacing w:line="480" w:lineRule="exact"/>
              <w:ind w:firstLine="480"/>
              <w:rPr>
                <w:color w:val="auto"/>
                <w:highlight w:val="yellow"/>
              </w:rPr>
            </w:pPr>
            <w:r>
              <w:rPr>
                <w:rFonts w:hint="eastAsia"/>
                <w:color w:val="auto"/>
                <w:highlight w:val="yellow"/>
              </w:rPr>
              <w:t>（1）施工前制定控制工地扬尘方案，采取有效防尘措施；开工前建设单位应当按照标准在施工现场周边设置围挡，施工单位应当对围挡进行维护。</w:t>
            </w:r>
          </w:p>
          <w:p w14:paraId="6390177C">
            <w:pPr>
              <w:adjustRightInd w:val="0"/>
              <w:snapToGrid w:val="0"/>
              <w:spacing w:line="480" w:lineRule="exact"/>
              <w:ind w:firstLine="480"/>
              <w:rPr>
                <w:color w:val="auto"/>
                <w:highlight w:val="yellow"/>
              </w:rPr>
            </w:pPr>
            <w:r>
              <w:rPr>
                <w:rFonts w:hint="eastAsia"/>
                <w:color w:val="auto"/>
                <w:highlight w:val="yellow"/>
              </w:rPr>
              <w:t>（2）施工单位应当在施工现场出入口公示施工现场负责人、环保监督员、扬尘污染控制措施、举报电话等信息。</w:t>
            </w:r>
          </w:p>
          <w:p w14:paraId="75652F06">
            <w:pPr>
              <w:adjustRightInd w:val="0"/>
              <w:snapToGrid w:val="0"/>
              <w:spacing w:line="480" w:lineRule="exact"/>
              <w:ind w:firstLine="480"/>
              <w:rPr>
                <w:color w:val="auto"/>
                <w:highlight w:val="yellow"/>
              </w:rPr>
            </w:pPr>
            <w:r>
              <w:rPr>
                <w:rFonts w:hint="eastAsia"/>
                <w:color w:val="auto"/>
                <w:highlight w:val="yellow"/>
              </w:rPr>
              <w:t>（3）建筑材料应进行遮盖、设置围挡；施工场地适当洒水，旧路面二次破碎过程应加强洒水抑尘，以减少扬尘污染。</w:t>
            </w:r>
          </w:p>
          <w:p w14:paraId="3A5403CB">
            <w:pPr>
              <w:adjustRightInd w:val="0"/>
              <w:snapToGrid w:val="0"/>
              <w:spacing w:line="480" w:lineRule="exact"/>
              <w:ind w:firstLine="480"/>
              <w:rPr>
                <w:color w:val="auto"/>
                <w:highlight w:val="yellow"/>
              </w:rPr>
            </w:pPr>
            <w:r>
              <w:rPr>
                <w:rFonts w:hint="eastAsia"/>
                <w:color w:val="auto"/>
                <w:highlight w:val="yellow"/>
              </w:rPr>
              <w:t>（4）运输渣土、砂石、土方等散装物料的车辆应当采取密闭或者其他措施防止物料遗撒造成扬尘污染，并按照规定路线行驶。装卸物料应当采取密闭或者洒水降尘等防止扬尘污染。</w:t>
            </w:r>
          </w:p>
          <w:p w14:paraId="6A651CE0">
            <w:pPr>
              <w:adjustRightInd w:val="0"/>
              <w:snapToGrid w:val="0"/>
              <w:spacing w:line="480" w:lineRule="exact"/>
              <w:ind w:firstLine="480"/>
              <w:rPr>
                <w:rFonts w:ascii="Calibri" w:hAnsi="Calibri"/>
                <w:color w:val="auto"/>
                <w:highlight w:val="none"/>
              </w:rPr>
            </w:pPr>
            <w:r>
              <w:rPr>
                <w:rFonts w:hint="eastAsia"/>
                <w:color w:val="auto"/>
                <w:highlight w:val="none"/>
              </w:rPr>
              <w:t>（5）</w:t>
            </w:r>
            <w:r>
              <w:rPr>
                <w:rFonts w:hint="eastAsia" w:ascii="Calibri" w:hAnsi="Calibri"/>
                <w:color w:val="auto"/>
                <w:highlight w:val="none"/>
              </w:rPr>
              <w:t>选用符合环保要求的燃油施工机械设备及其运输车辆；加强运输管理，合理安排施工车辆行驶路线，尽量避开居民集中区；加强对施工机械、运输车辆的维修保养，禁止施工机械超负荷工作和车辆运输超载。</w:t>
            </w:r>
          </w:p>
          <w:p w14:paraId="5D17E4BC">
            <w:pPr>
              <w:adjustRightInd w:val="0"/>
              <w:snapToGrid w:val="0"/>
              <w:spacing w:line="480" w:lineRule="exact"/>
              <w:ind w:firstLine="480"/>
              <w:rPr>
                <w:rFonts w:ascii="Calibri" w:hAnsi="Calibri"/>
                <w:color w:val="auto"/>
                <w:highlight w:val="none"/>
              </w:rPr>
            </w:pPr>
            <w:r>
              <w:rPr>
                <w:rFonts w:hint="eastAsia"/>
                <w:color w:val="auto"/>
                <w:highlight w:val="none"/>
              </w:rPr>
              <w:t>（6）</w:t>
            </w:r>
            <w:r>
              <w:rPr>
                <w:rFonts w:hint="eastAsia" w:ascii="Calibri" w:hAnsi="Calibri"/>
                <w:color w:val="auto"/>
                <w:highlight w:val="none"/>
              </w:rPr>
              <w:t>加强对施工人员的环保教育，提高全体施工人员的环保意识，坚持文明施工、科学施工、减少施工期的大气污染。</w:t>
            </w:r>
          </w:p>
          <w:p w14:paraId="2DA8B95A">
            <w:pPr>
              <w:adjustRightInd w:val="0"/>
              <w:snapToGrid w:val="0"/>
              <w:spacing w:line="480" w:lineRule="exact"/>
              <w:ind w:firstLine="480"/>
              <w:jc w:val="left"/>
              <w:rPr>
                <w:color w:val="auto"/>
                <w:highlight w:val="none"/>
              </w:rPr>
            </w:pPr>
            <w:r>
              <w:rPr>
                <w:rFonts w:hint="eastAsia"/>
                <w:color w:val="auto"/>
                <w:highlight w:val="none"/>
              </w:rPr>
              <w:t>综上所述，采取上述相应防治措施后，施工场界处扬尘满足《大气污染物综合排放标准》（GB16297-1996）表2无组织排放监控浓度限制要求，对环境空气影响较小。</w:t>
            </w:r>
          </w:p>
          <w:p w14:paraId="3A25AB67">
            <w:pPr>
              <w:adjustRightInd w:val="0"/>
              <w:snapToGrid w:val="0"/>
              <w:spacing w:line="480" w:lineRule="exact"/>
              <w:ind w:firstLine="482"/>
              <w:rPr>
                <w:b/>
                <w:color w:val="auto"/>
                <w:highlight w:val="none"/>
              </w:rPr>
            </w:pPr>
            <w:r>
              <w:rPr>
                <w:rFonts w:hint="eastAsia"/>
                <w:b/>
                <w:color w:val="auto"/>
                <w:highlight w:val="none"/>
              </w:rPr>
              <w:t>3、废水</w:t>
            </w:r>
          </w:p>
          <w:p w14:paraId="58E4C5D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highlight w:val="none"/>
              </w:rPr>
            </w:pPr>
            <w:r>
              <w:rPr>
                <w:rFonts w:hint="eastAsia" w:ascii="宋体" w:hAnsi="宋体"/>
                <w:color w:val="auto"/>
                <w:highlight w:val="none"/>
              </w:rPr>
              <w:t>（1）本项目</w:t>
            </w:r>
            <w:r>
              <w:rPr>
                <w:rFonts w:hint="eastAsia"/>
                <w:color w:val="auto"/>
                <w:highlight w:val="none"/>
              </w:rPr>
              <w:t>生活污水经民宅防渗旱厕后</w:t>
            </w:r>
            <w:r>
              <w:rPr>
                <w:rFonts w:hint="eastAsia"/>
                <w:color w:val="auto"/>
                <w:highlight w:val="none"/>
                <w:lang w:eastAsia="zh-CN"/>
              </w:rPr>
              <w:t>定期清掏外运堆肥处理</w:t>
            </w:r>
            <w:r>
              <w:rPr>
                <w:rFonts w:hint="eastAsia"/>
                <w:color w:val="auto"/>
                <w:highlight w:val="none"/>
              </w:rPr>
              <w:t>；施工废水不得随意排放，</w:t>
            </w:r>
            <w:r>
              <w:rPr>
                <w:rFonts w:hint="eastAsia"/>
                <w:color w:val="auto"/>
                <w:highlight w:val="none"/>
                <w:lang w:val="en-US" w:eastAsia="zh-CN"/>
              </w:rPr>
              <w:t>临时</w:t>
            </w:r>
            <w:r>
              <w:rPr>
                <w:rFonts w:hint="eastAsia"/>
                <w:color w:val="auto"/>
                <w:kern w:val="21"/>
                <w:highlight w:val="none"/>
                <w:lang w:val="en-US" w:eastAsia="zh-CN"/>
              </w:rPr>
              <w:t>设置1座10m</w:t>
            </w:r>
            <w:r>
              <w:rPr>
                <w:rFonts w:hint="eastAsia"/>
                <w:color w:val="auto"/>
                <w:kern w:val="21"/>
                <w:highlight w:val="none"/>
                <w:vertAlign w:val="superscript"/>
                <w:lang w:val="en-US" w:eastAsia="zh-CN"/>
              </w:rPr>
              <w:t>3</w:t>
            </w:r>
            <w:r>
              <w:rPr>
                <w:rFonts w:hint="eastAsia"/>
                <w:color w:val="auto"/>
                <w:kern w:val="21"/>
                <w:highlight w:val="none"/>
                <w:lang w:val="en-US" w:eastAsia="zh-CN"/>
              </w:rPr>
              <w:t>生产废水沉淀池，</w:t>
            </w:r>
            <w:r>
              <w:rPr>
                <w:rFonts w:hint="eastAsia"/>
                <w:color w:val="auto"/>
                <w:highlight w:val="none"/>
              </w:rPr>
              <w:t>经沉淀池处理回用洒水抑尘</w:t>
            </w:r>
            <w:r>
              <w:rPr>
                <w:rFonts w:hint="eastAsia"/>
                <w:color w:val="auto"/>
                <w:highlight w:val="none"/>
                <w:lang w:eastAsia="zh-CN"/>
              </w:rPr>
              <w:t>，</w:t>
            </w:r>
            <w:r>
              <w:rPr>
                <w:rFonts w:hint="eastAsia"/>
                <w:color w:val="auto"/>
                <w:highlight w:val="none"/>
                <w:lang w:val="en-US" w:eastAsia="zh-CN"/>
              </w:rPr>
              <w:t>不外排</w:t>
            </w:r>
            <w:r>
              <w:rPr>
                <w:rFonts w:hint="eastAsia"/>
                <w:color w:val="auto"/>
                <w:highlight w:val="none"/>
              </w:rPr>
              <w:t>。</w:t>
            </w:r>
          </w:p>
          <w:p w14:paraId="6E06060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（2）</w:t>
            </w:r>
            <w:r>
              <w:rPr>
                <w:rFonts w:hint="default" w:ascii="Times New Roman" w:hAnsi="Times New Roman" w:eastAsia="宋体" w:cs="Times New Roman"/>
                <w:color w:val="auto"/>
                <w:sz w:val="24"/>
                <w:szCs w:val="24"/>
                <w:highlight w:val="none"/>
              </w:rPr>
              <w:t>施工期间建筑材料堆放场地远离地表水体且无汇入支流空旷地带存放，并进行遮盖，防止雨水冲刷进入地表水体。</w:t>
            </w:r>
          </w:p>
          <w:p w14:paraId="0D948B0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（3）加强施工机械检修，严格施工管理，减少施工机械的跑、冒、滴、漏避免机械油污染水体。</w:t>
            </w:r>
          </w:p>
          <w:p w14:paraId="583CFA3A">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color w:val="auto"/>
                <w:highlight w:val="none"/>
              </w:rPr>
            </w:pPr>
            <w:r>
              <w:rPr>
                <w:rFonts w:hint="eastAsia"/>
                <w:color w:val="auto"/>
                <w:highlight w:val="none"/>
              </w:rPr>
              <w:t>综上所述，采取上述相应防治措施后，对水环境影响较小。</w:t>
            </w:r>
          </w:p>
          <w:p w14:paraId="067436A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rFonts w:hint="eastAsia"/>
                <w:b/>
                <w:color w:val="auto"/>
                <w:highlight w:val="none"/>
              </w:rPr>
              <w:t>4、噪声</w:t>
            </w:r>
          </w:p>
          <w:p w14:paraId="4804F58B">
            <w:pPr>
              <w:keepNext w:val="0"/>
              <w:keepLines w:val="0"/>
              <w:pageBreakBefore w:val="0"/>
              <w:widowControl w:val="0"/>
              <w:kinsoku/>
              <w:wordWrap/>
              <w:overflowPunct/>
              <w:topLinePunct w:val="0"/>
              <w:autoSpaceDE/>
              <w:autoSpaceDN/>
              <w:bidi w:val="0"/>
              <w:spacing w:line="360" w:lineRule="auto"/>
              <w:textAlignment w:val="auto"/>
              <w:rPr>
                <w:rFonts w:hint="eastAsia"/>
                <w:color w:val="auto"/>
                <w:highlight w:val="none"/>
              </w:rPr>
            </w:pPr>
            <w:r>
              <w:rPr>
                <w:rFonts w:hint="eastAsia"/>
                <w:color w:val="auto"/>
                <w:highlight w:val="none"/>
              </w:rPr>
              <w:t>（1）合理布局，临时工程及大型施工设备远离敏感点设置；合理制定施工计划，避免大量噪声设备同时使用。</w:t>
            </w:r>
          </w:p>
          <w:p w14:paraId="7E523782">
            <w:pPr>
              <w:keepNext w:val="0"/>
              <w:keepLines w:val="0"/>
              <w:pageBreakBefore w:val="0"/>
              <w:widowControl w:val="0"/>
              <w:kinsoku/>
              <w:wordWrap/>
              <w:overflowPunct/>
              <w:topLinePunct w:val="0"/>
              <w:autoSpaceDE/>
              <w:autoSpaceDN/>
              <w:bidi w:val="0"/>
              <w:spacing w:line="360" w:lineRule="auto"/>
              <w:textAlignment w:val="auto"/>
              <w:rPr>
                <w:rFonts w:hint="eastAsia"/>
                <w:color w:val="auto"/>
                <w:highlight w:val="none"/>
              </w:rPr>
            </w:pPr>
            <w:r>
              <w:rPr>
                <w:rFonts w:hint="eastAsia"/>
                <w:color w:val="auto"/>
                <w:highlight w:val="none"/>
              </w:rPr>
              <w:t>（2）采用低噪声设备，高噪声施工机械采取消声减震措施。</w:t>
            </w:r>
          </w:p>
          <w:p w14:paraId="2AC92B06">
            <w:pPr>
              <w:keepNext w:val="0"/>
              <w:keepLines w:val="0"/>
              <w:pageBreakBefore w:val="0"/>
              <w:widowControl w:val="0"/>
              <w:kinsoku/>
              <w:wordWrap/>
              <w:overflowPunct/>
              <w:topLinePunct w:val="0"/>
              <w:autoSpaceDE/>
              <w:autoSpaceDN/>
              <w:bidi w:val="0"/>
              <w:spacing w:line="360" w:lineRule="auto"/>
              <w:textAlignment w:val="auto"/>
              <w:rPr>
                <w:rFonts w:hint="eastAsia"/>
                <w:color w:val="auto"/>
                <w:highlight w:val="none"/>
              </w:rPr>
            </w:pPr>
            <w:r>
              <w:rPr>
                <w:rFonts w:hint="eastAsia"/>
                <w:color w:val="auto"/>
                <w:highlight w:val="none"/>
              </w:rPr>
              <w:t>（3）超标敏感点路段安装移动式隔声、隔尘挡板，建议长度覆盖整个环境保护目标，同时两侧各外延50m，高度3m，材质为镀锌板</w:t>
            </w:r>
            <w:r>
              <w:rPr>
                <w:color w:val="auto"/>
                <w:highlight w:val="none"/>
              </w:rPr>
              <w:t>，</w:t>
            </w:r>
            <w:r>
              <w:rPr>
                <w:rFonts w:hint="eastAsia"/>
                <w:color w:val="auto"/>
                <w:highlight w:val="none"/>
              </w:rPr>
              <w:t>隔声量3</w:t>
            </w:r>
            <w:r>
              <w:rPr>
                <w:color w:val="auto"/>
                <w:highlight w:val="none"/>
              </w:rPr>
              <w:t>0-50dB</w:t>
            </w:r>
            <w:r>
              <w:rPr>
                <w:rFonts w:hint="eastAsia"/>
                <w:color w:val="auto"/>
                <w:highlight w:val="none"/>
              </w:rPr>
              <w:t>，并在距敏感目较劲路段施工时、对高噪声</w:t>
            </w:r>
            <w:r>
              <w:rPr>
                <w:color w:val="auto"/>
                <w:highlight w:val="none"/>
              </w:rPr>
              <w:t>施工机械采取消声减震</w:t>
            </w:r>
            <w:r>
              <w:rPr>
                <w:rFonts w:hint="eastAsia"/>
                <w:color w:val="auto"/>
                <w:highlight w:val="none"/>
              </w:rPr>
              <w:t>等</w:t>
            </w:r>
            <w:r>
              <w:rPr>
                <w:color w:val="auto"/>
                <w:highlight w:val="none"/>
              </w:rPr>
              <w:t>措施。</w:t>
            </w:r>
          </w:p>
          <w:p w14:paraId="3A433A96">
            <w:pPr>
              <w:keepNext w:val="0"/>
              <w:keepLines w:val="0"/>
              <w:pageBreakBefore w:val="0"/>
              <w:widowControl w:val="0"/>
              <w:kinsoku/>
              <w:wordWrap/>
              <w:overflowPunct/>
              <w:topLinePunct w:val="0"/>
              <w:autoSpaceDE/>
              <w:autoSpaceDN/>
              <w:bidi w:val="0"/>
              <w:spacing w:line="360" w:lineRule="auto"/>
              <w:textAlignment w:val="auto"/>
              <w:rPr>
                <w:rFonts w:hint="eastAsia"/>
                <w:color w:val="auto"/>
                <w:highlight w:val="none"/>
              </w:rPr>
            </w:pPr>
            <w:r>
              <w:rPr>
                <w:rFonts w:hint="eastAsia"/>
                <w:color w:val="auto"/>
                <w:highlight w:val="none"/>
              </w:rPr>
              <w:t>（4）合理安排施工时间，禁止夜间（22:00-6:00）施工作业。</w:t>
            </w:r>
          </w:p>
          <w:p w14:paraId="01035CB2">
            <w:pPr>
              <w:keepNext w:val="0"/>
              <w:keepLines w:val="0"/>
              <w:pageBreakBefore w:val="0"/>
              <w:widowControl w:val="0"/>
              <w:kinsoku/>
              <w:wordWrap/>
              <w:overflowPunct/>
              <w:topLinePunct w:val="0"/>
              <w:autoSpaceDE/>
              <w:autoSpaceDN/>
              <w:bidi w:val="0"/>
              <w:spacing w:line="360" w:lineRule="auto"/>
              <w:textAlignment w:val="auto"/>
              <w:rPr>
                <w:rFonts w:hint="eastAsia"/>
                <w:color w:val="auto"/>
                <w:highlight w:val="none"/>
              </w:rPr>
            </w:pPr>
            <w:r>
              <w:rPr>
                <w:rFonts w:hint="eastAsia"/>
                <w:color w:val="auto"/>
                <w:highlight w:val="none"/>
              </w:rPr>
              <w:t>（5）本评价要求物料运输途经环境敏感点时减速慢行、禁止鸣笛及夜间禁止运输，降低对沿线环境敏感点的影响。</w:t>
            </w:r>
          </w:p>
          <w:p w14:paraId="11E7111C">
            <w:pPr>
              <w:keepNext w:val="0"/>
              <w:keepLines w:val="0"/>
              <w:pageBreakBefore w:val="0"/>
              <w:widowControl w:val="0"/>
              <w:kinsoku/>
              <w:wordWrap/>
              <w:overflowPunct/>
              <w:topLinePunct w:val="0"/>
              <w:autoSpaceDE/>
              <w:autoSpaceDN/>
              <w:bidi w:val="0"/>
              <w:spacing w:line="360" w:lineRule="auto"/>
              <w:textAlignment w:val="auto"/>
              <w:rPr>
                <w:rFonts w:hint="eastAsia"/>
                <w:color w:val="auto"/>
                <w:highlight w:val="none"/>
              </w:rPr>
            </w:pPr>
            <w:r>
              <w:rPr>
                <w:rFonts w:hint="eastAsia"/>
                <w:color w:val="auto"/>
                <w:highlight w:val="none"/>
              </w:rPr>
              <w:t>采取上述措施，施工场界噪声排放满足《建筑施工场界环境噪声排放标准》（GB12523-2011），即昼间70dB(A)、夜间55dB(A)；沿线环境敏感目标声环境可达到《声环境质量标准》（GB3096－2008）中相应2类标准。</w:t>
            </w:r>
          </w:p>
          <w:p w14:paraId="5D3539B3">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rFonts w:hint="eastAsia"/>
                <w:b/>
                <w:color w:val="auto"/>
                <w:highlight w:val="none"/>
              </w:rPr>
              <w:t>5、固体废物</w:t>
            </w:r>
          </w:p>
          <w:p w14:paraId="1BEB1C7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（1）本项目生活垃圾不得随意丢弃，由环卫部门统一处置。</w:t>
            </w:r>
          </w:p>
          <w:p w14:paraId="2A81CF7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eastAsia"/>
                <w:color w:val="auto"/>
                <w:highlight w:val="none"/>
              </w:rPr>
              <w:t>（2）</w:t>
            </w:r>
            <w:r>
              <w:rPr>
                <w:rFonts w:hint="default" w:ascii="Times New Roman" w:hAnsi="Times New Roman" w:eastAsia="宋体" w:cs="Times New Roman"/>
                <w:color w:val="auto"/>
                <w:sz w:val="24"/>
                <w:szCs w:val="24"/>
                <w:highlight w:val="none"/>
              </w:rPr>
              <w:t>本项目优先对</w:t>
            </w:r>
            <w:r>
              <w:rPr>
                <w:rFonts w:hint="default" w:ascii="Times New Roman" w:hAnsi="Times New Roman" w:eastAsia="宋体" w:cs="Times New Roman"/>
                <w:color w:val="auto"/>
                <w:sz w:val="24"/>
                <w:szCs w:val="24"/>
                <w:highlight w:val="none"/>
                <w:lang w:eastAsia="zh-CN"/>
              </w:rPr>
              <w:t>挖方</w:t>
            </w:r>
            <w:r>
              <w:rPr>
                <w:rFonts w:hint="default" w:ascii="Times New Roman" w:hAnsi="Times New Roman" w:eastAsia="宋体" w:cs="Times New Roman"/>
                <w:color w:val="auto"/>
                <w:sz w:val="24"/>
                <w:szCs w:val="24"/>
                <w:highlight w:val="none"/>
              </w:rPr>
              <w:t>和原有建筑材料进行再生利用，</w:t>
            </w:r>
            <w:r>
              <w:rPr>
                <w:rFonts w:hint="default" w:ascii="Times New Roman" w:hAnsi="Times New Roman" w:eastAsia="宋体" w:cs="Times New Roman"/>
                <w:color w:val="auto"/>
                <w:sz w:val="24"/>
                <w:szCs w:val="24"/>
                <w:highlight w:val="none"/>
                <w:lang w:eastAsia="zh-CN"/>
              </w:rPr>
              <w:t>挖方</w:t>
            </w:r>
            <w:r>
              <w:rPr>
                <w:rFonts w:hint="default" w:ascii="Times New Roman" w:hAnsi="Times New Roman" w:eastAsia="宋体" w:cs="Times New Roman"/>
                <w:color w:val="auto"/>
                <w:sz w:val="24"/>
                <w:szCs w:val="24"/>
                <w:highlight w:val="none"/>
              </w:rPr>
              <w:t>用于回填路基、临时便道、交叉等填筑，基层面层破碎后回用于基层填料，空心板用于堆砌挡墙等，钢材、支座等可回收材料进行资源回收，不可回收部分全部委托有资质的单位按的相关规定进行清运、处置。</w:t>
            </w:r>
          </w:p>
          <w:p w14:paraId="58864B6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highlight w:val="none"/>
              </w:rPr>
            </w:pPr>
            <w:r>
              <w:rPr>
                <w:rFonts w:hint="eastAsia"/>
                <w:color w:val="auto"/>
                <w:highlight w:val="none"/>
              </w:rPr>
              <w:t>本项目</w:t>
            </w:r>
            <w:r>
              <w:rPr>
                <w:rFonts w:hint="eastAsia"/>
                <w:color w:val="auto"/>
                <w:highlight w:val="none"/>
                <w:lang w:val="en-US" w:eastAsia="zh-CN"/>
              </w:rPr>
              <w:t>无弃方</w:t>
            </w:r>
            <w:r>
              <w:rPr>
                <w:rFonts w:hint="eastAsia"/>
                <w:color w:val="auto"/>
                <w:highlight w:val="none"/>
              </w:rPr>
              <w:t>，不涉及有毒有害物质，施工期固体废物在采取措施后，得到合理处置，对周围环境影响较小。</w:t>
            </w:r>
          </w:p>
          <w:p w14:paraId="200A2253">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、监测计划</w:t>
            </w:r>
          </w:p>
          <w:p w14:paraId="438310DC">
            <w:pPr>
              <w:pStyle w:val="2"/>
              <w:numPr>
                <w:ilvl w:val="0"/>
                <w:numId w:val="0"/>
              </w:numPr>
              <w:ind w:right="113" w:rightChars="0" w:firstLine="480" w:firstLineChars="200"/>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本项目环境监测计划，详见下表。</w:t>
            </w:r>
          </w:p>
          <w:p w14:paraId="4007F41A">
            <w:pPr>
              <w:pStyle w:val="12"/>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b/>
                <w:color w:val="auto"/>
                <w:spacing w:val="0"/>
                <w:sz w:val="24"/>
                <w:szCs w:val="24"/>
                <w:highlight w:val="none"/>
                <w:u w:val="none"/>
              </w:rPr>
              <w:t>表</w:t>
            </w:r>
            <w:r>
              <w:rPr>
                <w:rFonts w:hint="default" w:ascii="Times New Roman" w:hAnsi="Times New Roman" w:eastAsia="宋体" w:cs="Times New Roman"/>
                <w:b/>
                <w:color w:val="auto"/>
                <w:spacing w:val="0"/>
                <w:sz w:val="24"/>
                <w:szCs w:val="24"/>
                <w:highlight w:val="none"/>
                <w:u w:val="none"/>
                <w:lang w:val="en-US" w:eastAsia="zh-CN"/>
              </w:rPr>
              <w:t>5</w:t>
            </w:r>
            <w:r>
              <w:rPr>
                <w:rFonts w:hint="default" w:ascii="Times New Roman" w:hAnsi="Times New Roman" w:eastAsia="宋体" w:cs="Times New Roman"/>
                <w:b/>
                <w:color w:val="auto"/>
                <w:spacing w:val="0"/>
                <w:sz w:val="24"/>
                <w:szCs w:val="24"/>
                <w:highlight w:val="none"/>
                <w:u w:val="none"/>
              </w:rPr>
              <w:t>-1</w:t>
            </w:r>
            <w:r>
              <w:rPr>
                <w:rFonts w:hint="default" w:ascii="Times New Roman" w:hAnsi="Times New Roman" w:eastAsia="宋体" w:cs="Times New Roman"/>
                <w:b/>
                <w:color w:val="auto"/>
                <w:spacing w:val="0"/>
                <w:sz w:val="24"/>
                <w:szCs w:val="24"/>
                <w:highlight w:val="none"/>
                <w:u w:val="none"/>
                <w:lang w:val="en-US" w:eastAsia="zh-CN"/>
              </w:rPr>
              <w:t xml:space="preserve"> </w:t>
            </w:r>
            <w:r>
              <w:rPr>
                <w:rFonts w:hint="default" w:ascii="Times New Roman" w:hAnsi="Times New Roman" w:eastAsia="宋体" w:cs="Times New Roman"/>
                <w:b/>
                <w:color w:val="auto"/>
                <w:spacing w:val="0"/>
                <w:sz w:val="24"/>
                <w:szCs w:val="24"/>
                <w:highlight w:val="none"/>
                <w:u w:val="none"/>
              </w:rPr>
              <w:t>环境监测计划</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959"/>
              <w:gridCol w:w="1134"/>
              <w:gridCol w:w="1167"/>
              <w:gridCol w:w="1713"/>
              <w:gridCol w:w="2011"/>
            </w:tblGrid>
            <w:tr w14:paraId="66454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pct"/>
                  <w:tcBorders>
                    <w:tl2br w:val="nil"/>
                    <w:tr2bl w:val="nil"/>
                  </w:tcBorders>
                  <w:noWrap w:val="0"/>
                  <w:vAlign w:val="center"/>
                </w:tcPr>
                <w:p w14:paraId="153FAF5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时段</w:t>
                  </w:r>
                </w:p>
              </w:tc>
              <w:tc>
                <w:tcPr>
                  <w:tcW w:w="625" w:type="pct"/>
                  <w:tcBorders>
                    <w:tl2br w:val="nil"/>
                    <w:tr2bl w:val="nil"/>
                  </w:tcBorders>
                  <w:noWrap w:val="0"/>
                  <w:vAlign w:val="center"/>
                </w:tcPr>
                <w:p w14:paraId="521BB62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监测项目</w:t>
                  </w:r>
                </w:p>
              </w:tc>
              <w:tc>
                <w:tcPr>
                  <w:tcW w:w="739" w:type="pct"/>
                  <w:tcBorders>
                    <w:tl2br w:val="nil"/>
                    <w:tr2bl w:val="nil"/>
                  </w:tcBorders>
                  <w:noWrap w:val="0"/>
                  <w:vAlign w:val="center"/>
                </w:tcPr>
                <w:p w14:paraId="7853EF2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监测因子</w:t>
                  </w:r>
                </w:p>
              </w:tc>
              <w:tc>
                <w:tcPr>
                  <w:tcW w:w="761" w:type="pct"/>
                  <w:tcBorders>
                    <w:tl2br w:val="nil"/>
                    <w:tr2bl w:val="nil"/>
                  </w:tcBorders>
                  <w:noWrap w:val="0"/>
                  <w:vAlign w:val="center"/>
                </w:tcPr>
                <w:p w14:paraId="2638BD4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监测点位</w:t>
                  </w:r>
                </w:p>
              </w:tc>
              <w:tc>
                <w:tcPr>
                  <w:tcW w:w="1117" w:type="pct"/>
                  <w:tcBorders>
                    <w:tl2br w:val="nil"/>
                    <w:tr2bl w:val="nil"/>
                  </w:tcBorders>
                  <w:noWrap w:val="0"/>
                  <w:vAlign w:val="center"/>
                </w:tcPr>
                <w:p w14:paraId="15B145C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监测时间与频率</w:t>
                  </w:r>
                </w:p>
              </w:tc>
              <w:tc>
                <w:tcPr>
                  <w:tcW w:w="1311" w:type="pct"/>
                  <w:tcBorders>
                    <w:tl2br w:val="nil"/>
                    <w:tr2bl w:val="nil"/>
                  </w:tcBorders>
                  <w:noWrap w:val="0"/>
                  <w:vAlign w:val="top"/>
                </w:tcPr>
                <w:p w14:paraId="44AE464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执行标准及限值</w:t>
                  </w:r>
                </w:p>
              </w:tc>
            </w:tr>
            <w:tr w14:paraId="4A672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444" w:type="pct"/>
                  <w:vMerge w:val="restart"/>
                  <w:tcBorders>
                    <w:tl2br w:val="nil"/>
                    <w:tr2bl w:val="nil"/>
                  </w:tcBorders>
                  <w:noWrap w:val="0"/>
                  <w:vAlign w:val="center"/>
                </w:tcPr>
                <w:p w14:paraId="1058B72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施工期</w:t>
                  </w:r>
                </w:p>
              </w:tc>
              <w:tc>
                <w:tcPr>
                  <w:tcW w:w="625" w:type="pct"/>
                  <w:tcBorders>
                    <w:tl2br w:val="nil"/>
                    <w:tr2bl w:val="nil"/>
                  </w:tcBorders>
                  <w:noWrap w:val="0"/>
                  <w:vAlign w:val="center"/>
                </w:tcPr>
                <w:p w14:paraId="1BB977D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环境空气</w:t>
                  </w:r>
                </w:p>
              </w:tc>
              <w:tc>
                <w:tcPr>
                  <w:tcW w:w="739" w:type="pct"/>
                  <w:tcBorders>
                    <w:tl2br w:val="nil"/>
                    <w:tr2bl w:val="nil"/>
                  </w:tcBorders>
                  <w:noWrap w:val="0"/>
                  <w:vAlign w:val="center"/>
                </w:tcPr>
                <w:p w14:paraId="661D6B4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TSP</w:t>
                  </w:r>
                </w:p>
              </w:tc>
              <w:tc>
                <w:tcPr>
                  <w:tcW w:w="761" w:type="pct"/>
                  <w:tcBorders>
                    <w:tl2br w:val="nil"/>
                    <w:tr2bl w:val="nil"/>
                  </w:tcBorders>
                  <w:noWrap w:val="0"/>
                  <w:vAlign w:val="center"/>
                </w:tcPr>
                <w:p w14:paraId="3A23335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未铺装施工道路附近居民集中居住点</w:t>
                  </w:r>
                </w:p>
              </w:tc>
              <w:tc>
                <w:tcPr>
                  <w:tcW w:w="1117" w:type="pct"/>
                  <w:tcBorders>
                    <w:tl2br w:val="nil"/>
                    <w:tr2bl w:val="nil"/>
                  </w:tcBorders>
                  <w:noWrap w:val="0"/>
                  <w:vAlign w:val="center"/>
                </w:tcPr>
                <w:p w14:paraId="6316F35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 次/年（春季、秋季或夏季）或随机抽样监测，每次连续3天</w:t>
                  </w:r>
                </w:p>
              </w:tc>
              <w:tc>
                <w:tcPr>
                  <w:tcW w:w="1311" w:type="pct"/>
                  <w:tcBorders>
                    <w:tl2br w:val="nil"/>
                    <w:tr2bl w:val="nil"/>
                  </w:tcBorders>
                  <w:noWrap w:val="0"/>
                  <w:vAlign w:val="center"/>
                </w:tcPr>
                <w:p w14:paraId="7297F06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《大气污染物综合排放标准》（GB16297-1996）</w:t>
                  </w:r>
                </w:p>
                <w:p w14:paraId="6BEC4B3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表2</w:t>
                  </w:r>
                  <w:r>
                    <w:rPr>
                      <w:rFonts w:hint="default" w:ascii="Times New Roman" w:hAnsi="Times New Roman" w:eastAsia="宋体" w:cs="Times New Roman"/>
                      <w:color w:val="auto"/>
                      <w:sz w:val="21"/>
                      <w:szCs w:val="21"/>
                      <w:highlight w:val="none"/>
                      <w:u w:val="none"/>
                    </w:rPr>
                    <w:t>无组织排放监控浓度</w:t>
                  </w:r>
                </w:p>
              </w:tc>
            </w:tr>
            <w:tr w14:paraId="490D9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44" w:type="pct"/>
                  <w:vMerge w:val="continue"/>
                  <w:tcBorders>
                    <w:tl2br w:val="nil"/>
                    <w:tr2bl w:val="nil"/>
                  </w:tcBorders>
                  <w:noWrap w:val="0"/>
                  <w:vAlign w:val="center"/>
                </w:tcPr>
                <w:p w14:paraId="173BA2C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625" w:type="pct"/>
                  <w:tcBorders>
                    <w:tl2br w:val="nil"/>
                    <w:tr2bl w:val="nil"/>
                  </w:tcBorders>
                  <w:noWrap w:val="0"/>
                  <w:vAlign w:val="center"/>
                </w:tcPr>
                <w:p w14:paraId="38A23DC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声环境</w:t>
                  </w:r>
                </w:p>
              </w:tc>
              <w:tc>
                <w:tcPr>
                  <w:tcW w:w="739" w:type="pct"/>
                  <w:tcBorders>
                    <w:tl2br w:val="nil"/>
                    <w:tr2bl w:val="nil"/>
                  </w:tcBorders>
                  <w:noWrap w:val="0"/>
                  <w:vAlign w:val="center"/>
                </w:tcPr>
                <w:p w14:paraId="35B3789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等效连续A声级</w:t>
                  </w:r>
                </w:p>
              </w:tc>
              <w:tc>
                <w:tcPr>
                  <w:tcW w:w="761" w:type="pct"/>
                  <w:tcBorders>
                    <w:tl2br w:val="nil"/>
                    <w:tr2bl w:val="nil"/>
                  </w:tcBorders>
                  <w:noWrap w:val="0"/>
                  <w:vAlign w:val="center"/>
                </w:tcPr>
                <w:p w14:paraId="6498986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距离施工场地200m内村屯</w:t>
                  </w:r>
                </w:p>
              </w:tc>
              <w:tc>
                <w:tcPr>
                  <w:tcW w:w="1117" w:type="pct"/>
                  <w:tcBorders>
                    <w:tl2br w:val="nil"/>
                    <w:tr2bl w:val="nil"/>
                  </w:tcBorders>
                  <w:noWrap w:val="0"/>
                  <w:vAlign w:val="center"/>
                </w:tcPr>
                <w:p w14:paraId="40E27D13">
                  <w:pPr>
                    <w:spacing w:line="240" w:lineRule="auto"/>
                    <w:ind w:firstLine="0" w:firstLineChars="0"/>
                    <w:jc w:val="center"/>
                    <w:rPr>
                      <w:color w:val="auto"/>
                      <w:kern w:val="0"/>
                      <w:sz w:val="21"/>
                      <w:szCs w:val="21"/>
                      <w:highlight w:val="none"/>
                    </w:rPr>
                  </w:pPr>
                  <w:r>
                    <w:rPr>
                      <w:color w:val="auto"/>
                      <w:kern w:val="0"/>
                      <w:sz w:val="21"/>
                      <w:szCs w:val="21"/>
                      <w:highlight w:val="none"/>
                    </w:rPr>
                    <w:t>1次/年（施工期每季度一次），1天2次</w:t>
                  </w:r>
                </w:p>
                <w:p w14:paraId="688EDE1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color w:val="auto"/>
                      <w:kern w:val="0"/>
                      <w:sz w:val="21"/>
                      <w:szCs w:val="21"/>
                      <w:highlight w:val="none"/>
                    </w:rPr>
                    <w:t>（昼夜各一次）</w:t>
                  </w:r>
                </w:p>
              </w:tc>
              <w:tc>
                <w:tcPr>
                  <w:tcW w:w="1311" w:type="pct"/>
                  <w:tcBorders>
                    <w:tl2br w:val="nil"/>
                    <w:tr2bl w:val="nil"/>
                  </w:tcBorders>
                  <w:noWrap w:val="0"/>
                  <w:vAlign w:val="center"/>
                </w:tcPr>
                <w:p w14:paraId="2032F56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《建筑施工场界环境噪声排放标准》（GB12523-2011）</w:t>
                  </w:r>
                </w:p>
              </w:tc>
            </w:tr>
            <w:tr w14:paraId="3ED2C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44" w:type="pct"/>
                  <w:tcBorders>
                    <w:tl2br w:val="nil"/>
                    <w:tr2bl w:val="nil"/>
                  </w:tcBorders>
                  <w:noWrap w:val="0"/>
                  <w:vAlign w:val="center"/>
                </w:tcPr>
                <w:p w14:paraId="5DEC51A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运营期</w:t>
                  </w:r>
                </w:p>
              </w:tc>
              <w:tc>
                <w:tcPr>
                  <w:tcW w:w="959" w:type="dxa"/>
                  <w:tcBorders>
                    <w:tl2br w:val="nil"/>
                    <w:tr2bl w:val="nil"/>
                  </w:tcBorders>
                  <w:noWrap w:val="0"/>
                  <w:vAlign w:val="center"/>
                </w:tcPr>
                <w:p w14:paraId="5193251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声环境</w:t>
                  </w:r>
                </w:p>
              </w:tc>
              <w:tc>
                <w:tcPr>
                  <w:tcW w:w="1134" w:type="dxa"/>
                  <w:tcBorders>
                    <w:tl2br w:val="nil"/>
                    <w:tr2bl w:val="nil"/>
                  </w:tcBorders>
                  <w:noWrap w:val="0"/>
                  <w:vAlign w:val="center"/>
                </w:tcPr>
                <w:p w14:paraId="442E042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等效连续A声级</w:t>
                  </w:r>
                </w:p>
              </w:tc>
              <w:tc>
                <w:tcPr>
                  <w:tcW w:w="1167" w:type="dxa"/>
                  <w:tcBorders>
                    <w:tl2br w:val="nil"/>
                    <w:tr2bl w:val="nil"/>
                  </w:tcBorders>
                  <w:noWrap w:val="0"/>
                  <w:vAlign w:val="center"/>
                </w:tcPr>
                <w:p w14:paraId="04E2741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距离施工场地200m内村屯</w:t>
                  </w:r>
                </w:p>
              </w:tc>
              <w:tc>
                <w:tcPr>
                  <w:tcW w:w="1713" w:type="dxa"/>
                  <w:tcBorders>
                    <w:tl2br w:val="nil"/>
                    <w:tr2bl w:val="nil"/>
                  </w:tcBorders>
                  <w:noWrap w:val="0"/>
                  <w:vAlign w:val="center"/>
                </w:tcPr>
                <w:p w14:paraId="6276912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运营近期1次/年，连续监测2天，昼、夜间各1次/天；中期、远期频次可适当减少</w:t>
                  </w:r>
                </w:p>
              </w:tc>
              <w:tc>
                <w:tcPr>
                  <w:tcW w:w="2011" w:type="dxa"/>
                  <w:tcBorders>
                    <w:tl2br w:val="nil"/>
                    <w:tr2bl w:val="nil"/>
                  </w:tcBorders>
                  <w:noWrap w:val="0"/>
                  <w:vAlign w:val="center"/>
                </w:tcPr>
                <w:p w14:paraId="6DA2D71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《声环境质量标准》(GB3096-2008)中2类标准</w:t>
                  </w:r>
                </w:p>
              </w:tc>
            </w:tr>
          </w:tbl>
          <w:p w14:paraId="3A052180">
            <w:pPr>
              <w:pStyle w:val="2"/>
              <w:rPr>
                <w:color w:val="auto"/>
                <w:highlight w:val="none"/>
              </w:rPr>
            </w:pPr>
          </w:p>
        </w:tc>
      </w:tr>
      <w:tr w14:paraId="20000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36" w:type="pct"/>
            <w:tcMar>
              <w:left w:w="28" w:type="dxa"/>
              <w:right w:w="28" w:type="dxa"/>
            </w:tcMar>
            <w:vAlign w:val="center"/>
          </w:tcPr>
          <w:p w14:paraId="5F7A632F">
            <w:pPr>
              <w:ind w:firstLine="0" w:firstLineChars="0"/>
              <w:jc w:val="center"/>
              <w:rPr>
                <w:color w:val="auto"/>
                <w:highlight w:val="none"/>
              </w:rPr>
            </w:pPr>
            <w:r>
              <w:rPr>
                <w:color w:val="auto"/>
                <w:highlight w:val="none"/>
              </w:rPr>
              <w:t>运营期生</w:t>
            </w:r>
          </w:p>
          <w:p w14:paraId="49F567CD">
            <w:pPr>
              <w:ind w:firstLine="0" w:firstLineChars="0"/>
              <w:jc w:val="center"/>
              <w:rPr>
                <w:color w:val="auto"/>
                <w:highlight w:val="none"/>
              </w:rPr>
            </w:pPr>
            <w:r>
              <w:rPr>
                <w:color w:val="auto"/>
                <w:highlight w:val="none"/>
              </w:rPr>
              <w:t>态环境保</w:t>
            </w:r>
          </w:p>
          <w:p w14:paraId="58E53186">
            <w:pPr>
              <w:ind w:firstLine="0" w:firstLineChars="0"/>
              <w:jc w:val="center"/>
              <w:rPr>
                <w:color w:val="auto"/>
                <w:highlight w:val="none"/>
              </w:rPr>
            </w:pPr>
            <w:r>
              <w:rPr>
                <w:color w:val="auto"/>
                <w:highlight w:val="none"/>
              </w:rPr>
              <w:t>护措施</w:t>
            </w:r>
          </w:p>
        </w:tc>
        <w:tc>
          <w:tcPr>
            <w:tcW w:w="4664" w:type="pct"/>
          </w:tcPr>
          <w:p w14:paraId="25F73D6F">
            <w:pPr>
              <w:keepNext w:val="0"/>
              <w:keepLines w:val="0"/>
              <w:pageBreakBefore w:val="0"/>
              <w:widowControl w:val="0"/>
              <w:kinsoku/>
              <w:wordWrap/>
              <w:overflowPunct/>
              <w:topLinePunct w:val="0"/>
              <w:autoSpaceDE/>
              <w:autoSpaceDN/>
              <w:bidi w:val="0"/>
              <w:snapToGrid w:val="0"/>
              <w:spacing w:line="360" w:lineRule="auto"/>
              <w:ind w:firstLine="482"/>
              <w:textAlignment w:val="auto"/>
              <w:rPr>
                <w:b/>
                <w:color w:val="auto"/>
                <w:highlight w:val="none"/>
              </w:rPr>
            </w:pPr>
            <w:r>
              <w:rPr>
                <w:b/>
                <w:color w:val="auto"/>
                <w:highlight w:val="none"/>
              </w:rPr>
              <w:t>1、生态保护措施</w:t>
            </w:r>
          </w:p>
          <w:p w14:paraId="484EBA4F">
            <w:pPr>
              <w:keepNext w:val="0"/>
              <w:keepLines w:val="0"/>
              <w:pageBreakBefore w:val="0"/>
              <w:widowControl w:val="0"/>
              <w:kinsoku/>
              <w:wordWrap/>
              <w:overflowPunct/>
              <w:topLinePunct w:val="0"/>
              <w:autoSpaceDE/>
              <w:autoSpaceDN/>
              <w:bidi w:val="0"/>
              <w:snapToGrid w:val="0"/>
              <w:spacing w:line="360" w:lineRule="auto"/>
              <w:ind w:firstLine="480"/>
              <w:textAlignment w:val="auto"/>
              <w:rPr>
                <w:color w:val="auto"/>
                <w:highlight w:val="none"/>
              </w:rPr>
            </w:pPr>
            <w:r>
              <w:rPr>
                <w:color w:val="auto"/>
                <w:highlight w:val="none"/>
              </w:rPr>
              <w:t>（1）做好工程完工后生态恢复工作，应尽量减少植被破坏及对水土流失的不利影响。</w:t>
            </w:r>
          </w:p>
          <w:p w14:paraId="1DE3557C">
            <w:pPr>
              <w:keepNext w:val="0"/>
              <w:keepLines w:val="0"/>
              <w:pageBreakBefore w:val="0"/>
              <w:widowControl w:val="0"/>
              <w:kinsoku/>
              <w:wordWrap/>
              <w:overflowPunct/>
              <w:topLinePunct w:val="0"/>
              <w:autoSpaceDE/>
              <w:autoSpaceDN/>
              <w:bidi w:val="0"/>
              <w:snapToGrid w:val="0"/>
              <w:spacing w:line="360" w:lineRule="auto"/>
              <w:ind w:firstLine="480"/>
              <w:textAlignment w:val="auto"/>
              <w:rPr>
                <w:color w:val="auto"/>
                <w:highlight w:val="none"/>
              </w:rPr>
            </w:pPr>
            <w:r>
              <w:rPr>
                <w:color w:val="auto"/>
                <w:highlight w:val="none"/>
              </w:rPr>
              <w:t>（2）路基边坡采用植草等形式进行绿化，公路边沟外侧至路界内根据不同路段地貌分别种植常绿或速生乔木，局部考虑植草坪。建议在保留现有树种同时，种植以高大乔木物种为主，乔灌草结合的绿化带。</w:t>
            </w:r>
          </w:p>
          <w:p w14:paraId="2BD2E25C">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color w:val="auto"/>
                <w:highlight w:val="none"/>
              </w:rPr>
            </w:pPr>
            <w:r>
              <w:rPr>
                <w:rFonts w:hint="eastAsia"/>
                <w:color w:val="auto"/>
                <w:highlight w:val="none"/>
              </w:rPr>
              <w:t>综上所述，采取上述相应防治措施后，对生态环境影响较小。</w:t>
            </w:r>
          </w:p>
          <w:p w14:paraId="6DF34F9F">
            <w:pPr>
              <w:keepNext w:val="0"/>
              <w:keepLines w:val="0"/>
              <w:pageBreakBefore w:val="0"/>
              <w:widowControl w:val="0"/>
              <w:kinsoku/>
              <w:wordWrap/>
              <w:overflowPunct/>
              <w:topLinePunct w:val="0"/>
              <w:autoSpaceDE/>
              <w:autoSpaceDN/>
              <w:bidi w:val="0"/>
              <w:snapToGrid w:val="0"/>
              <w:spacing w:line="360" w:lineRule="auto"/>
              <w:ind w:firstLine="482"/>
              <w:textAlignment w:val="auto"/>
              <w:rPr>
                <w:b/>
                <w:color w:val="auto"/>
                <w:highlight w:val="none"/>
              </w:rPr>
            </w:pPr>
            <w:r>
              <w:rPr>
                <w:b/>
                <w:color w:val="auto"/>
                <w:highlight w:val="none"/>
              </w:rPr>
              <w:t>2、环境空气保护措施</w:t>
            </w:r>
          </w:p>
          <w:p w14:paraId="2E601672">
            <w:pPr>
              <w:keepNext w:val="0"/>
              <w:keepLines w:val="0"/>
              <w:pageBreakBefore w:val="0"/>
              <w:widowControl w:val="0"/>
              <w:kinsoku/>
              <w:wordWrap/>
              <w:overflowPunct/>
              <w:topLinePunct w:val="0"/>
              <w:autoSpaceDE/>
              <w:autoSpaceDN/>
              <w:bidi w:val="0"/>
              <w:snapToGrid w:val="0"/>
              <w:spacing w:line="360" w:lineRule="auto"/>
              <w:ind w:firstLine="480"/>
              <w:textAlignment w:val="auto"/>
              <w:rPr>
                <w:color w:val="auto"/>
                <w:highlight w:val="none"/>
              </w:rPr>
            </w:pPr>
            <w:r>
              <w:rPr>
                <w:color w:val="auto"/>
                <w:highlight w:val="none"/>
              </w:rPr>
              <w:t>（1）加强公路管理及路面养护，保持公路良好运营状态；加强交通运输车辆管理，禁止尾气严重超标车辆上路行驶。</w:t>
            </w:r>
          </w:p>
          <w:p w14:paraId="4DF36594">
            <w:pPr>
              <w:keepNext w:val="0"/>
              <w:keepLines w:val="0"/>
              <w:pageBreakBefore w:val="0"/>
              <w:widowControl w:val="0"/>
              <w:kinsoku/>
              <w:wordWrap/>
              <w:overflowPunct/>
              <w:topLinePunct w:val="0"/>
              <w:autoSpaceDE/>
              <w:autoSpaceDN/>
              <w:bidi w:val="0"/>
              <w:snapToGrid w:val="0"/>
              <w:spacing w:line="360" w:lineRule="auto"/>
              <w:ind w:firstLine="480"/>
              <w:textAlignment w:val="auto"/>
              <w:rPr>
                <w:color w:val="auto"/>
                <w:highlight w:val="none"/>
              </w:rPr>
            </w:pPr>
            <w:r>
              <w:rPr>
                <w:color w:val="auto"/>
                <w:highlight w:val="none"/>
              </w:rPr>
              <w:t>（2）公路两侧种植适宜当地生长的林草，增加沿线植被覆盖率，净化尾气、扬尘等，改善路边景观及行车环境。</w:t>
            </w:r>
          </w:p>
          <w:p w14:paraId="5F3E34A6">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b/>
                <w:color w:val="auto"/>
                <w:highlight w:val="none"/>
              </w:rPr>
              <w:t>3、噪声污染防治措施</w:t>
            </w:r>
          </w:p>
          <w:p w14:paraId="475A451E">
            <w:pPr>
              <w:tabs>
                <w:tab w:val="left" w:pos="3180"/>
              </w:tabs>
              <w:rPr>
                <w:rFonts w:hint="eastAsia"/>
                <w:color w:val="auto"/>
                <w:highlight w:val="none"/>
              </w:rPr>
            </w:pPr>
            <w:r>
              <w:rPr>
                <w:rFonts w:hint="eastAsia"/>
                <w:color w:val="auto"/>
                <w:highlight w:val="none"/>
              </w:rPr>
              <w:t>（1）加强交通管理，严格执行限速和禁止超载等交通规则，如在敏感点路段限速30km/h、禁鸣标志等，减小交通噪声对居民的影响。</w:t>
            </w:r>
          </w:p>
          <w:p w14:paraId="66D97A37">
            <w:pPr>
              <w:tabs>
                <w:tab w:val="left" w:pos="3180"/>
              </w:tabs>
              <w:rPr>
                <w:rFonts w:hint="eastAsia"/>
                <w:color w:val="auto"/>
                <w:highlight w:val="none"/>
              </w:rPr>
            </w:pPr>
            <w:r>
              <w:rPr>
                <w:rFonts w:hint="eastAsia"/>
                <w:color w:val="auto"/>
                <w:highlight w:val="none"/>
              </w:rPr>
              <w:t>（2）对公路沿线声环境敏感目标采取跟踪监测的方式，对各期实际交通量大于本环评预测交通量的情况开展敏感点噪声跟踪监测，要求对敏感点进行24小时的连续监测，根据监测结果和声环境敏感目标的变化情况，对噪声超标的敏感点采取声屏障或者隔声窗措施，进一步减轻本项目交通噪声对周围环境的影响。</w:t>
            </w:r>
          </w:p>
          <w:p w14:paraId="7D3F4251">
            <w:pPr>
              <w:tabs>
                <w:tab w:val="left" w:pos="3180"/>
              </w:tabs>
              <w:rPr>
                <w:rFonts w:hint="eastAsia"/>
                <w:color w:val="auto"/>
                <w:highlight w:val="none"/>
              </w:rPr>
            </w:pPr>
            <w:r>
              <w:rPr>
                <w:rFonts w:hint="eastAsia"/>
                <w:color w:val="auto"/>
                <w:highlight w:val="none"/>
              </w:rPr>
              <w:t>（3）经常养护路面，保证本项目各公路的良好路况。</w:t>
            </w:r>
          </w:p>
          <w:p w14:paraId="2C9AB064">
            <w:pPr>
              <w:tabs>
                <w:tab w:val="left" w:pos="3180"/>
              </w:tabs>
              <w:rPr>
                <w:rFonts w:hint="eastAsia"/>
                <w:color w:val="auto"/>
                <w:highlight w:val="none"/>
              </w:rPr>
            </w:pPr>
            <w:r>
              <w:rPr>
                <w:rFonts w:hint="eastAsia"/>
                <w:color w:val="auto"/>
                <w:highlight w:val="none"/>
              </w:rPr>
              <w:t>（4）结合当地生态建设规划，加强工程征地范围内可绿化地段的绿化工作。对路堤边坡、排水沟等进行统一的绿化工程设计，沿线村庄路段两侧在可能情况下营造多层次结构的绿化林带，使之形成立体屏障，加强对交通噪声的阻隔、吸收作用。</w:t>
            </w:r>
          </w:p>
          <w:p w14:paraId="74C928B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5）若未来沿线进行建设时，在临公路第一排房屋区不宜作为卧室（可考虑门面商业），特别是学校、医院、疗养院等特殊敏感建筑，规划建设时要留有余地。如不可避让需建设上述敏感建筑物时，应合理布局并采取降噪措施。</w:t>
            </w:r>
          </w:p>
          <w:p w14:paraId="027B70F4">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b/>
                <w:color w:val="auto"/>
                <w:highlight w:val="none"/>
              </w:rPr>
              <w:t>4、固体废物污染防治措施</w:t>
            </w:r>
          </w:p>
          <w:p w14:paraId="6B55FAA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highlight w:val="none"/>
              </w:rPr>
              <w:t>道路营运后，加强道路日常清洁及维护；运输车辆撒落的运载物、发生交通事故的车辆装载的货物、客车乘客丢弃的物品等固体废物，交由市政部门统一清运。</w:t>
            </w:r>
          </w:p>
          <w:p w14:paraId="75809F0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highlight w:val="none"/>
              </w:rPr>
              <w:t>本项目固体处理率100%，对环境影响较小。</w:t>
            </w:r>
          </w:p>
          <w:p w14:paraId="1E9630A9">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b/>
                <w:color w:val="auto"/>
                <w:highlight w:val="none"/>
              </w:rPr>
              <w:t>5、水污染防治措施</w:t>
            </w:r>
          </w:p>
          <w:p w14:paraId="0ECEA92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highlight w:val="none"/>
              </w:rPr>
              <w:t>（1）完善路面排水系统，道路排水系统与现有规划的排水系统相协调，路面径流经收集后排入附近河流。</w:t>
            </w:r>
          </w:p>
          <w:p w14:paraId="1A3AD91E">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）对危险品运输车辆进行上路前的检查，登记驾乘人员基本情况及类型方式；严禁各种泄露、散装超载的车辆上路，防治抛撒，进而进入地表水体。</w:t>
            </w:r>
          </w:p>
          <w:p w14:paraId="5E10B4AE">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）对危险品运输车辆实施全程监控，发现任何情况立即通知驾乘人员。</w:t>
            </w:r>
          </w:p>
          <w:p w14:paraId="23E1BF33">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事故发生时立即启动应急预案。首先驾乘人员应根据货物性质，按规定要求采取相应的救急措施，为防治事态扩大，还应及时向道路管理部门和有关部门（公安、环保）报告，共同采取措施，控制污染范围及程度，直至消除危害。</w:t>
            </w:r>
          </w:p>
          <w:p w14:paraId="6932D375">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应急清理措施包括：封闭事故现场可能将液体导流至下水道或地表水体的通道；运输车辆查缺堵漏、用容器盛装泄露物品，禁止任由物品泄露到地面，尤其是液体状危险品；对于初期泄露到地面或采取措施后无法得到有效控制而泄露到地面危险品，禁止用水冲洗，应及时采取干法方式清洁，避免污染面的扩大；有必要的情况，对事故现场实施交通管制，等污染消除后再通车。</w:t>
            </w:r>
          </w:p>
          <w:p w14:paraId="7D22921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highlight w:val="none"/>
              </w:rPr>
              <w:t>综上所述，本项目废水不会对地表水环境产生影响。</w:t>
            </w:r>
          </w:p>
          <w:p w14:paraId="4A05ECE6">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highlight w:val="none"/>
              </w:rPr>
            </w:pPr>
            <w:r>
              <w:rPr>
                <w:b/>
                <w:color w:val="auto"/>
                <w:highlight w:val="none"/>
              </w:rPr>
              <w:t>6、环境风险防范措施</w:t>
            </w:r>
          </w:p>
          <w:p w14:paraId="06ADC0B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highlight w:val="none"/>
              </w:rPr>
              <w:t>（1）风险事故防范措施</w:t>
            </w:r>
          </w:p>
          <w:p w14:paraId="7525B39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ascii="宋体" w:hAnsi="宋体" w:cs="宋体"/>
                <w:color w:val="auto"/>
                <w:highlight w:val="none"/>
              </w:rPr>
              <w:t>①</w:t>
            </w:r>
            <w:r>
              <w:rPr>
                <w:color w:val="auto"/>
                <w:highlight w:val="none"/>
              </w:rPr>
              <w:t>道路运营管理部门配备必要环境风险应急材料，包括应急人员和器材（包括通讯器材、防护器材和处理、处置器材），并对相关人员进行必要的培训和演练。</w:t>
            </w:r>
          </w:p>
          <w:p w14:paraId="0F9CFF7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ascii="宋体" w:hAnsi="宋体" w:cs="宋体"/>
                <w:color w:val="auto"/>
                <w:highlight w:val="none"/>
              </w:rPr>
              <w:t>②</w:t>
            </w:r>
            <w:r>
              <w:rPr>
                <w:color w:val="auto"/>
                <w:highlight w:val="none"/>
              </w:rPr>
              <w:t>加强桥涵路段内侧防撞护栏设计并加强维护；加强道路安全设施设计，敏感路段、跨越桥梁路段等设置警示牌，提醒司机进入减速慢行，谨慎驾驶。</w:t>
            </w:r>
          </w:p>
          <w:p w14:paraId="09D9D51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ascii="宋体" w:hAnsi="宋体" w:cs="宋体"/>
                <w:color w:val="auto"/>
                <w:highlight w:val="none"/>
              </w:rPr>
              <w:t>③</w:t>
            </w:r>
            <w:r>
              <w:rPr>
                <w:color w:val="auto"/>
                <w:highlight w:val="none"/>
              </w:rPr>
              <w:t>危险品运输车辆要有明显标志，应严格执行《化学危险品安全管理条例》等危险品运输有关规定，对运输危险品车辆实行申报管理制度。车主需填写申报表，主要内容有危险货物执照号码、货物品种等级和编号、收发货人名称、装卸地点、货物特性等。</w:t>
            </w:r>
          </w:p>
          <w:p w14:paraId="790DD9D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ascii="宋体" w:hAnsi="宋体" w:cs="宋体"/>
                <w:color w:val="auto"/>
                <w:highlight w:val="none"/>
              </w:rPr>
              <w:t>④</w:t>
            </w:r>
            <w:r>
              <w:rPr>
                <w:color w:val="auto"/>
                <w:highlight w:val="none"/>
              </w:rPr>
              <w:t>建立一支现代化的养护队伍，保证公路路面清洁、畅通，降雪后要及时清除路面畅通，减少因积雪导致的交通事故发生。</w:t>
            </w:r>
          </w:p>
          <w:p w14:paraId="246AB76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ascii="宋体" w:hAnsi="宋体" w:cs="宋体"/>
                <w:color w:val="auto"/>
                <w:highlight w:val="none"/>
              </w:rPr>
              <w:t>⑤</w:t>
            </w:r>
            <w:r>
              <w:rPr>
                <w:color w:val="auto"/>
                <w:highlight w:val="none"/>
              </w:rPr>
              <w:t>一旦事故发生，应及时迅速报警，及时通知有关交警、消防、生态环境部门，立即启动环境应急预案，采取应急措施。</w:t>
            </w:r>
          </w:p>
          <w:p w14:paraId="36817A6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highlight w:val="none"/>
              </w:rPr>
              <w:t>（2）</w:t>
            </w:r>
            <w:r>
              <w:rPr>
                <w:rFonts w:hint="eastAsia"/>
                <w:color w:val="auto"/>
                <w:highlight w:val="none"/>
              </w:rPr>
              <w:t>突发环境事件应急预案</w:t>
            </w:r>
          </w:p>
          <w:p w14:paraId="12FC5D1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highlight w:val="none"/>
              </w:rPr>
              <w:t>营运管理部门应建立起与地方政府及有关部门的事故通报机制和事故处理配合机制，并把本项目的环境应急预案纳入各级政府的应急救援体系之中。</w:t>
            </w:r>
          </w:p>
        </w:tc>
      </w:tr>
      <w:tr w14:paraId="1B847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14:paraId="09242FB1">
            <w:pPr>
              <w:ind w:firstLine="0" w:firstLineChars="0"/>
              <w:jc w:val="center"/>
              <w:rPr>
                <w:color w:val="auto"/>
                <w:highlight w:val="none"/>
              </w:rPr>
            </w:pPr>
            <w:r>
              <w:rPr>
                <w:color w:val="auto"/>
                <w:highlight w:val="none"/>
              </w:rPr>
              <w:t>其他</w:t>
            </w:r>
          </w:p>
        </w:tc>
        <w:tc>
          <w:tcPr>
            <w:tcW w:w="4664" w:type="pct"/>
            <w:vAlign w:val="center"/>
          </w:tcPr>
          <w:p w14:paraId="0E766135">
            <w:pPr>
              <w:ind w:firstLine="480"/>
              <w:rPr>
                <w:color w:val="auto"/>
                <w:highlight w:val="none"/>
              </w:rPr>
            </w:pPr>
          </w:p>
          <w:p w14:paraId="31FE1F18">
            <w:pPr>
              <w:ind w:left="0" w:leftChars="0" w:firstLine="0" w:firstLineChars="0"/>
              <w:jc w:val="center"/>
              <w:rPr>
                <w:color w:val="auto"/>
                <w:highlight w:val="none"/>
              </w:rPr>
            </w:pPr>
            <w:r>
              <w:rPr>
                <w:rFonts w:hint="eastAsia"/>
                <w:color w:val="auto"/>
                <w:highlight w:val="none"/>
              </w:rPr>
              <w:t>无</w:t>
            </w:r>
          </w:p>
          <w:p w14:paraId="3C0B435E">
            <w:pPr>
              <w:ind w:firstLine="480"/>
              <w:rPr>
                <w:color w:val="auto"/>
                <w:highlight w:val="none"/>
              </w:rPr>
            </w:pPr>
          </w:p>
        </w:tc>
      </w:tr>
      <w:tr w14:paraId="59F37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14:paraId="44D81A37">
            <w:pPr>
              <w:adjustRightInd w:val="0"/>
              <w:snapToGrid w:val="0"/>
              <w:spacing w:line="480" w:lineRule="exact"/>
              <w:ind w:firstLine="0" w:firstLineChars="0"/>
              <w:jc w:val="center"/>
              <w:rPr>
                <w:color w:val="auto"/>
                <w:highlight w:val="none"/>
              </w:rPr>
            </w:pPr>
            <w:r>
              <w:rPr>
                <w:color w:val="auto"/>
                <w:highlight w:val="none"/>
              </w:rPr>
              <w:t>环保</w:t>
            </w:r>
          </w:p>
          <w:p w14:paraId="35693F56">
            <w:pPr>
              <w:adjustRightInd w:val="0"/>
              <w:snapToGrid w:val="0"/>
              <w:spacing w:line="480" w:lineRule="exact"/>
              <w:ind w:firstLine="0" w:firstLineChars="0"/>
              <w:jc w:val="center"/>
              <w:rPr>
                <w:color w:val="auto"/>
                <w:highlight w:val="none"/>
              </w:rPr>
            </w:pPr>
            <w:r>
              <w:rPr>
                <w:color w:val="auto"/>
                <w:highlight w:val="none"/>
              </w:rPr>
              <w:t>投资</w:t>
            </w:r>
          </w:p>
        </w:tc>
        <w:tc>
          <w:tcPr>
            <w:tcW w:w="4664" w:type="pct"/>
          </w:tcPr>
          <w:p w14:paraId="346EEA86">
            <w:pPr>
              <w:adjustRightInd w:val="0"/>
              <w:snapToGrid w:val="0"/>
              <w:spacing w:line="480" w:lineRule="exact"/>
              <w:ind w:firstLine="480"/>
              <w:rPr>
                <w:color w:val="auto"/>
                <w:highlight w:val="none"/>
              </w:rPr>
            </w:pPr>
            <w:r>
              <w:rPr>
                <w:color w:val="auto"/>
                <w:highlight w:val="none"/>
              </w:rPr>
              <w:t>本项目总投资为</w:t>
            </w:r>
            <w:r>
              <w:rPr>
                <w:rFonts w:hint="eastAsia"/>
                <w:color w:val="auto"/>
                <w:highlight w:val="none"/>
              </w:rPr>
              <w:t>8382.6311</w:t>
            </w:r>
            <w:r>
              <w:rPr>
                <w:color w:val="auto"/>
                <w:highlight w:val="none"/>
              </w:rPr>
              <w:t>万元，环保投资总额为</w:t>
            </w:r>
            <w:r>
              <w:rPr>
                <w:rFonts w:hint="eastAsia"/>
                <w:color w:val="auto"/>
                <w:highlight w:val="none"/>
                <w:lang w:eastAsia="zh-CN"/>
              </w:rPr>
              <w:t>93.45</w:t>
            </w:r>
            <w:r>
              <w:rPr>
                <w:color w:val="auto"/>
                <w:highlight w:val="none"/>
              </w:rPr>
              <w:t>万元，环保投资比例为</w:t>
            </w:r>
            <w:r>
              <w:rPr>
                <w:rFonts w:hint="eastAsia"/>
                <w:color w:val="auto"/>
                <w:highlight w:val="none"/>
                <w:lang w:val="en-US" w:eastAsia="zh-CN"/>
              </w:rPr>
              <w:t>1.11</w:t>
            </w:r>
            <w:r>
              <w:rPr>
                <w:color w:val="auto"/>
                <w:highlight w:val="none"/>
              </w:rPr>
              <w:t>%。</w:t>
            </w:r>
          </w:p>
          <w:p w14:paraId="3F71977C">
            <w:pPr>
              <w:pStyle w:val="27"/>
              <w:adjustRightInd w:val="0"/>
              <w:snapToGrid w:val="0"/>
              <w:spacing w:line="480" w:lineRule="exact"/>
              <w:rPr>
                <w:rFonts w:hint="default" w:eastAsia="宋体"/>
                <w:b/>
                <w:color w:val="auto"/>
                <w:sz w:val="24"/>
                <w:highlight w:val="none"/>
              </w:rPr>
            </w:pPr>
            <w:r>
              <w:rPr>
                <w:rFonts w:hint="default" w:eastAsia="宋体"/>
                <w:b/>
                <w:color w:val="auto"/>
                <w:sz w:val="24"/>
                <w:highlight w:val="none"/>
              </w:rPr>
              <w:t>表5-2 环保投资明细表（单位：万元）</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4"/>
              <w:gridCol w:w="866"/>
              <w:gridCol w:w="2299"/>
              <w:gridCol w:w="1257"/>
              <w:gridCol w:w="2296"/>
            </w:tblGrid>
            <w:tr w14:paraId="45F93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616" w:type="pct"/>
                  <w:tcBorders>
                    <w:top w:val="single" w:color="000000" w:sz="12" w:space="0"/>
                    <w:left w:val="nil"/>
                    <w:bottom w:val="single" w:color="000000" w:sz="8" w:space="0"/>
                    <w:right w:val="single" w:color="000000" w:sz="8" w:space="0"/>
                  </w:tcBorders>
                  <w:shd w:val="clear" w:color="auto" w:fill="auto"/>
                  <w:vAlign w:val="center"/>
                </w:tcPr>
                <w:p w14:paraId="14627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污染源</w:t>
                  </w:r>
                </w:p>
              </w:tc>
              <w:tc>
                <w:tcPr>
                  <w:tcW w:w="2065" w:type="pct"/>
                  <w:gridSpan w:val="2"/>
                  <w:tcBorders>
                    <w:top w:val="single" w:color="000000" w:sz="12" w:space="0"/>
                    <w:left w:val="nil"/>
                    <w:bottom w:val="single" w:color="000000" w:sz="8" w:space="0"/>
                    <w:right w:val="single" w:color="000000" w:sz="8" w:space="0"/>
                  </w:tcBorders>
                  <w:shd w:val="clear" w:color="auto" w:fill="auto"/>
                  <w:vAlign w:val="center"/>
                </w:tcPr>
                <w:p w14:paraId="12EBF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环保设施名称</w:t>
                  </w:r>
                </w:p>
              </w:tc>
              <w:tc>
                <w:tcPr>
                  <w:tcW w:w="820" w:type="pct"/>
                  <w:tcBorders>
                    <w:top w:val="single" w:color="000000" w:sz="12" w:space="0"/>
                    <w:left w:val="nil"/>
                    <w:bottom w:val="single" w:color="000000" w:sz="8" w:space="0"/>
                    <w:right w:val="single" w:color="000000" w:sz="8" w:space="0"/>
                  </w:tcBorders>
                  <w:shd w:val="clear" w:color="auto" w:fill="auto"/>
                  <w:vAlign w:val="center"/>
                </w:tcPr>
                <w:p w14:paraId="7A6200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环保投资</w:t>
                  </w:r>
                  <w:r>
                    <w:rPr>
                      <w:rStyle w:val="43"/>
                      <w:rFonts w:eastAsia="宋体"/>
                      <w:color w:val="auto"/>
                      <w:sz w:val="21"/>
                      <w:szCs w:val="21"/>
                      <w:highlight w:val="none"/>
                      <w:lang w:val="en-US" w:eastAsia="zh-CN" w:bidi="ar"/>
                    </w:rPr>
                    <w:t>(</w:t>
                  </w:r>
                  <w:r>
                    <w:rPr>
                      <w:rStyle w:val="44"/>
                      <w:color w:val="auto"/>
                      <w:sz w:val="21"/>
                      <w:szCs w:val="21"/>
                      <w:highlight w:val="none"/>
                      <w:lang w:val="en-US" w:eastAsia="zh-CN" w:bidi="ar"/>
                    </w:rPr>
                    <w:t>万元</w:t>
                  </w:r>
                  <w:r>
                    <w:rPr>
                      <w:rStyle w:val="43"/>
                      <w:rFonts w:eastAsia="宋体"/>
                      <w:color w:val="auto"/>
                      <w:sz w:val="21"/>
                      <w:szCs w:val="21"/>
                      <w:highlight w:val="none"/>
                      <w:lang w:val="en-US" w:eastAsia="zh-CN" w:bidi="ar"/>
                    </w:rPr>
                    <w:t>)</w:t>
                  </w:r>
                </w:p>
              </w:tc>
              <w:tc>
                <w:tcPr>
                  <w:tcW w:w="1498" w:type="pct"/>
                  <w:tcBorders>
                    <w:top w:val="single" w:color="000000" w:sz="12" w:space="0"/>
                    <w:left w:val="nil"/>
                    <w:bottom w:val="single" w:color="000000" w:sz="8" w:space="0"/>
                    <w:right w:val="nil"/>
                  </w:tcBorders>
                  <w:shd w:val="clear" w:color="auto" w:fill="auto"/>
                  <w:vAlign w:val="center"/>
                </w:tcPr>
                <w:p w14:paraId="347A7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14:paraId="366A2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pct"/>
                  <w:vMerge w:val="restart"/>
                  <w:tcBorders>
                    <w:top w:val="nil"/>
                    <w:left w:val="nil"/>
                    <w:bottom w:val="single" w:color="000000" w:sz="8" w:space="0"/>
                    <w:right w:val="single" w:color="000000" w:sz="8" w:space="0"/>
                  </w:tcBorders>
                  <w:shd w:val="clear" w:color="auto" w:fill="auto"/>
                  <w:vAlign w:val="center"/>
                </w:tcPr>
                <w:p w14:paraId="31E7C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废水</w:t>
                  </w:r>
                </w:p>
              </w:tc>
              <w:tc>
                <w:tcPr>
                  <w:tcW w:w="565" w:type="pct"/>
                  <w:vMerge w:val="restart"/>
                  <w:tcBorders>
                    <w:top w:val="nil"/>
                    <w:left w:val="nil"/>
                    <w:bottom w:val="single" w:color="000000" w:sz="8" w:space="0"/>
                    <w:right w:val="single" w:color="000000" w:sz="8" w:space="0"/>
                  </w:tcBorders>
                  <w:shd w:val="clear" w:color="auto" w:fill="auto"/>
                  <w:vAlign w:val="center"/>
                </w:tcPr>
                <w:p w14:paraId="3E247C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施工期</w:t>
                  </w:r>
                </w:p>
              </w:tc>
              <w:tc>
                <w:tcPr>
                  <w:tcW w:w="1500" w:type="pct"/>
                  <w:tcBorders>
                    <w:top w:val="nil"/>
                    <w:left w:val="nil"/>
                    <w:bottom w:val="single" w:color="000000" w:sz="8" w:space="0"/>
                    <w:right w:val="single" w:color="000000" w:sz="8" w:space="0"/>
                  </w:tcBorders>
                  <w:shd w:val="clear" w:color="auto" w:fill="auto"/>
                  <w:vAlign w:val="center"/>
                </w:tcPr>
                <w:p w14:paraId="04610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沉淀池</w:t>
                  </w:r>
                </w:p>
              </w:tc>
              <w:tc>
                <w:tcPr>
                  <w:tcW w:w="820" w:type="pct"/>
                  <w:tcBorders>
                    <w:top w:val="nil"/>
                    <w:left w:val="nil"/>
                    <w:bottom w:val="single" w:color="000000" w:sz="8" w:space="0"/>
                    <w:right w:val="single" w:color="000000" w:sz="8" w:space="0"/>
                  </w:tcBorders>
                  <w:shd w:val="clear" w:color="auto" w:fill="auto"/>
                  <w:vAlign w:val="center"/>
                </w:tcPr>
                <w:p w14:paraId="02756F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98" w:type="pct"/>
                  <w:tcBorders>
                    <w:top w:val="nil"/>
                    <w:left w:val="nil"/>
                    <w:bottom w:val="single" w:color="000000" w:sz="8" w:space="0"/>
                    <w:right w:val="nil"/>
                  </w:tcBorders>
                  <w:shd w:val="clear" w:color="auto" w:fill="auto"/>
                  <w:vAlign w:val="center"/>
                </w:tcPr>
                <w:p w14:paraId="45B17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临时设置</w:t>
                  </w:r>
                  <w:r>
                    <w:rPr>
                      <w:rStyle w:val="43"/>
                      <w:rFonts w:eastAsia="宋体"/>
                      <w:color w:val="auto"/>
                      <w:sz w:val="21"/>
                      <w:szCs w:val="21"/>
                      <w:highlight w:val="none"/>
                      <w:lang w:val="en-US" w:eastAsia="zh-CN" w:bidi="ar"/>
                    </w:rPr>
                    <w:t>1</w:t>
                  </w:r>
                  <w:r>
                    <w:rPr>
                      <w:rStyle w:val="44"/>
                      <w:color w:val="auto"/>
                      <w:sz w:val="21"/>
                      <w:szCs w:val="21"/>
                      <w:highlight w:val="none"/>
                      <w:lang w:val="en-US" w:eastAsia="zh-CN" w:bidi="ar"/>
                    </w:rPr>
                    <w:t>个</w:t>
                  </w:r>
                </w:p>
              </w:tc>
            </w:tr>
            <w:tr w14:paraId="2729A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pct"/>
                  <w:vMerge w:val="continue"/>
                  <w:tcBorders>
                    <w:top w:val="nil"/>
                    <w:left w:val="nil"/>
                    <w:bottom w:val="single" w:color="000000" w:sz="8" w:space="0"/>
                    <w:right w:val="single" w:color="000000" w:sz="8" w:space="0"/>
                  </w:tcBorders>
                  <w:shd w:val="clear" w:color="auto" w:fill="auto"/>
                  <w:vAlign w:val="center"/>
                </w:tcPr>
                <w:p w14:paraId="4EC16E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highlight w:val="none"/>
                      <w:u w:val="none"/>
                    </w:rPr>
                  </w:pPr>
                </w:p>
              </w:tc>
              <w:tc>
                <w:tcPr>
                  <w:tcW w:w="565" w:type="pct"/>
                  <w:vMerge w:val="continue"/>
                  <w:tcBorders>
                    <w:top w:val="nil"/>
                    <w:left w:val="nil"/>
                    <w:bottom w:val="single" w:color="000000" w:sz="8" w:space="0"/>
                    <w:right w:val="single" w:color="000000" w:sz="8" w:space="0"/>
                  </w:tcBorders>
                  <w:shd w:val="clear" w:color="auto" w:fill="auto"/>
                  <w:vAlign w:val="center"/>
                </w:tcPr>
                <w:p w14:paraId="35D6F8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highlight w:val="none"/>
                      <w:u w:val="none"/>
                    </w:rPr>
                  </w:pPr>
                </w:p>
              </w:tc>
              <w:tc>
                <w:tcPr>
                  <w:tcW w:w="1500" w:type="pct"/>
                  <w:tcBorders>
                    <w:top w:val="nil"/>
                    <w:left w:val="nil"/>
                    <w:bottom w:val="single" w:color="000000" w:sz="8" w:space="0"/>
                    <w:right w:val="single" w:color="000000" w:sz="8" w:space="0"/>
                  </w:tcBorders>
                  <w:shd w:val="clear" w:color="auto" w:fill="auto"/>
                  <w:vAlign w:val="center"/>
                </w:tcPr>
                <w:p w14:paraId="2566BE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防渗旱厕</w:t>
                  </w:r>
                </w:p>
              </w:tc>
              <w:tc>
                <w:tcPr>
                  <w:tcW w:w="820" w:type="pct"/>
                  <w:tcBorders>
                    <w:top w:val="nil"/>
                    <w:left w:val="nil"/>
                    <w:bottom w:val="single" w:color="000000" w:sz="8" w:space="0"/>
                    <w:right w:val="single" w:color="000000" w:sz="8" w:space="0"/>
                  </w:tcBorders>
                  <w:shd w:val="clear" w:color="auto" w:fill="auto"/>
                  <w:vAlign w:val="center"/>
                </w:tcPr>
                <w:p w14:paraId="079D88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98" w:type="pct"/>
                  <w:tcBorders>
                    <w:top w:val="nil"/>
                    <w:left w:val="nil"/>
                    <w:bottom w:val="single" w:color="000000" w:sz="8" w:space="0"/>
                    <w:right w:val="nil"/>
                  </w:tcBorders>
                  <w:shd w:val="clear" w:color="auto" w:fill="auto"/>
                  <w:vAlign w:val="center"/>
                </w:tcPr>
                <w:p w14:paraId="128E4F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租赁民宅设置</w:t>
                  </w:r>
                  <w:r>
                    <w:rPr>
                      <w:rStyle w:val="43"/>
                      <w:rFonts w:eastAsia="宋体"/>
                      <w:color w:val="auto"/>
                      <w:sz w:val="21"/>
                      <w:szCs w:val="21"/>
                      <w:highlight w:val="none"/>
                      <w:lang w:val="en-US" w:eastAsia="zh-CN" w:bidi="ar"/>
                    </w:rPr>
                    <w:t>1</w:t>
                  </w:r>
                  <w:r>
                    <w:rPr>
                      <w:rStyle w:val="44"/>
                      <w:color w:val="auto"/>
                      <w:sz w:val="21"/>
                      <w:szCs w:val="21"/>
                      <w:highlight w:val="none"/>
                      <w:lang w:val="en-US" w:eastAsia="zh-CN" w:bidi="ar"/>
                    </w:rPr>
                    <w:t>个</w:t>
                  </w:r>
                </w:p>
              </w:tc>
            </w:tr>
            <w:tr w14:paraId="1D99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pct"/>
                  <w:vMerge w:val="continue"/>
                  <w:tcBorders>
                    <w:top w:val="nil"/>
                    <w:left w:val="nil"/>
                    <w:bottom w:val="single" w:color="000000" w:sz="8" w:space="0"/>
                    <w:right w:val="single" w:color="000000" w:sz="8" w:space="0"/>
                  </w:tcBorders>
                  <w:shd w:val="clear" w:color="auto" w:fill="auto"/>
                  <w:vAlign w:val="center"/>
                </w:tcPr>
                <w:p w14:paraId="5B15B4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highlight w:val="none"/>
                      <w:u w:val="none"/>
                    </w:rPr>
                  </w:pPr>
                </w:p>
              </w:tc>
              <w:tc>
                <w:tcPr>
                  <w:tcW w:w="565" w:type="pct"/>
                  <w:tcBorders>
                    <w:top w:val="nil"/>
                    <w:left w:val="nil"/>
                    <w:bottom w:val="single" w:color="000000" w:sz="8" w:space="0"/>
                    <w:right w:val="single" w:color="000000" w:sz="8" w:space="0"/>
                  </w:tcBorders>
                  <w:shd w:val="clear" w:color="auto" w:fill="auto"/>
                  <w:vAlign w:val="center"/>
                </w:tcPr>
                <w:p w14:paraId="79AF64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运行期</w:t>
                  </w:r>
                </w:p>
              </w:tc>
              <w:tc>
                <w:tcPr>
                  <w:tcW w:w="1500" w:type="pct"/>
                  <w:tcBorders>
                    <w:top w:val="nil"/>
                    <w:left w:val="nil"/>
                    <w:bottom w:val="single" w:color="000000" w:sz="8" w:space="0"/>
                    <w:right w:val="single" w:color="000000" w:sz="8" w:space="0"/>
                  </w:tcBorders>
                  <w:shd w:val="clear" w:color="auto" w:fill="auto"/>
                  <w:vAlign w:val="center"/>
                </w:tcPr>
                <w:p w14:paraId="0BFA5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定期清理排水系统</w:t>
                  </w:r>
                </w:p>
              </w:tc>
              <w:tc>
                <w:tcPr>
                  <w:tcW w:w="820" w:type="pct"/>
                  <w:tcBorders>
                    <w:top w:val="nil"/>
                    <w:left w:val="nil"/>
                    <w:bottom w:val="single" w:color="000000" w:sz="8" w:space="0"/>
                    <w:right w:val="single" w:color="000000" w:sz="8" w:space="0"/>
                  </w:tcBorders>
                  <w:shd w:val="clear" w:color="auto" w:fill="auto"/>
                  <w:vAlign w:val="center"/>
                </w:tcPr>
                <w:p w14:paraId="59FBAB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98" w:type="pct"/>
                  <w:tcBorders>
                    <w:top w:val="nil"/>
                    <w:left w:val="nil"/>
                    <w:bottom w:val="single" w:color="000000" w:sz="8" w:space="0"/>
                    <w:right w:val="nil"/>
                  </w:tcBorders>
                  <w:shd w:val="clear" w:color="auto" w:fill="auto"/>
                  <w:vAlign w:val="center"/>
                </w:tcPr>
                <w:p w14:paraId="7D0C0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73720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616" w:type="pct"/>
                  <w:vMerge w:val="restart"/>
                  <w:tcBorders>
                    <w:top w:val="nil"/>
                    <w:left w:val="nil"/>
                    <w:bottom w:val="single" w:color="000000" w:sz="8" w:space="0"/>
                    <w:right w:val="single" w:color="000000" w:sz="8" w:space="0"/>
                  </w:tcBorders>
                  <w:shd w:val="clear" w:color="auto" w:fill="auto"/>
                  <w:vAlign w:val="center"/>
                </w:tcPr>
                <w:p w14:paraId="440CD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w:t>
                  </w:r>
                </w:p>
              </w:tc>
              <w:tc>
                <w:tcPr>
                  <w:tcW w:w="565" w:type="pct"/>
                  <w:vMerge w:val="restart"/>
                  <w:tcBorders>
                    <w:top w:val="nil"/>
                    <w:left w:val="nil"/>
                    <w:bottom w:val="single" w:color="000000" w:sz="8" w:space="0"/>
                    <w:right w:val="single" w:color="000000" w:sz="8" w:space="0"/>
                  </w:tcBorders>
                  <w:shd w:val="clear" w:color="auto" w:fill="auto"/>
                  <w:vAlign w:val="center"/>
                </w:tcPr>
                <w:p w14:paraId="3BD77D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施工期</w:t>
                  </w:r>
                </w:p>
              </w:tc>
              <w:tc>
                <w:tcPr>
                  <w:tcW w:w="1500" w:type="pct"/>
                  <w:tcBorders>
                    <w:top w:val="nil"/>
                    <w:left w:val="nil"/>
                    <w:bottom w:val="single" w:color="000000" w:sz="8" w:space="0"/>
                    <w:right w:val="single" w:color="000000" w:sz="8" w:space="0"/>
                  </w:tcBorders>
                  <w:shd w:val="clear" w:color="auto" w:fill="auto"/>
                  <w:vAlign w:val="center"/>
                </w:tcPr>
                <w:p w14:paraId="7B0DD6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临时堆场、建筑材料遮盖、拦挡等</w:t>
                  </w:r>
                </w:p>
              </w:tc>
              <w:tc>
                <w:tcPr>
                  <w:tcW w:w="820" w:type="pct"/>
                  <w:tcBorders>
                    <w:top w:val="nil"/>
                    <w:left w:val="nil"/>
                    <w:bottom w:val="single" w:color="000000" w:sz="8" w:space="0"/>
                    <w:right w:val="single" w:color="000000" w:sz="8" w:space="0"/>
                  </w:tcBorders>
                  <w:shd w:val="clear" w:color="auto" w:fill="auto"/>
                  <w:vAlign w:val="center"/>
                </w:tcPr>
                <w:p w14:paraId="4F351D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498" w:type="pct"/>
                  <w:tcBorders>
                    <w:top w:val="nil"/>
                    <w:left w:val="nil"/>
                    <w:bottom w:val="single" w:color="000000" w:sz="8" w:space="0"/>
                    <w:right w:val="nil"/>
                  </w:tcBorders>
                  <w:shd w:val="clear" w:color="auto" w:fill="auto"/>
                  <w:vAlign w:val="center"/>
                </w:tcPr>
                <w:p w14:paraId="5E781C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根据实际操作设置</w:t>
                  </w:r>
                </w:p>
              </w:tc>
            </w:tr>
            <w:tr w14:paraId="6EFED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616" w:type="pct"/>
                  <w:vMerge w:val="continue"/>
                  <w:tcBorders>
                    <w:top w:val="nil"/>
                    <w:left w:val="nil"/>
                    <w:bottom w:val="single" w:color="000000" w:sz="8" w:space="0"/>
                    <w:right w:val="single" w:color="000000" w:sz="8" w:space="0"/>
                  </w:tcBorders>
                  <w:shd w:val="clear" w:color="auto" w:fill="auto"/>
                  <w:vAlign w:val="center"/>
                </w:tcPr>
                <w:p w14:paraId="5B145A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highlight w:val="none"/>
                      <w:u w:val="none"/>
                    </w:rPr>
                  </w:pPr>
                </w:p>
              </w:tc>
              <w:tc>
                <w:tcPr>
                  <w:tcW w:w="565" w:type="pct"/>
                  <w:vMerge w:val="continue"/>
                  <w:tcBorders>
                    <w:top w:val="nil"/>
                    <w:left w:val="nil"/>
                    <w:bottom w:val="single" w:color="000000" w:sz="8" w:space="0"/>
                    <w:right w:val="single" w:color="000000" w:sz="8" w:space="0"/>
                  </w:tcBorders>
                  <w:shd w:val="clear" w:color="auto" w:fill="auto"/>
                  <w:vAlign w:val="center"/>
                </w:tcPr>
                <w:p w14:paraId="5B8A18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highlight w:val="none"/>
                      <w:u w:val="none"/>
                    </w:rPr>
                  </w:pPr>
                </w:p>
              </w:tc>
              <w:tc>
                <w:tcPr>
                  <w:tcW w:w="1500" w:type="pct"/>
                  <w:tcBorders>
                    <w:top w:val="nil"/>
                    <w:left w:val="nil"/>
                    <w:bottom w:val="single" w:color="000000" w:sz="8" w:space="0"/>
                    <w:right w:val="single" w:color="000000" w:sz="8" w:space="0"/>
                  </w:tcBorders>
                  <w:shd w:val="clear" w:color="auto" w:fill="auto"/>
                  <w:vAlign w:val="center"/>
                </w:tcPr>
                <w:p w14:paraId="4D7C6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洒水车</w:t>
                  </w:r>
                </w:p>
              </w:tc>
              <w:tc>
                <w:tcPr>
                  <w:tcW w:w="820" w:type="pct"/>
                  <w:tcBorders>
                    <w:top w:val="nil"/>
                    <w:left w:val="nil"/>
                    <w:bottom w:val="single" w:color="000000" w:sz="8" w:space="0"/>
                    <w:right w:val="single" w:color="000000" w:sz="8" w:space="0"/>
                  </w:tcBorders>
                  <w:shd w:val="clear" w:color="auto" w:fill="auto"/>
                  <w:vAlign w:val="center"/>
                </w:tcPr>
                <w:p w14:paraId="0E4E8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498" w:type="pct"/>
                  <w:tcBorders>
                    <w:top w:val="nil"/>
                    <w:left w:val="nil"/>
                    <w:bottom w:val="single" w:color="000000" w:sz="8" w:space="0"/>
                    <w:right w:val="nil"/>
                  </w:tcBorders>
                  <w:shd w:val="clear" w:color="auto" w:fill="auto"/>
                  <w:vAlign w:val="center"/>
                </w:tcPr>
                <w:p w14:paraId="4008D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洒水车根据实际需要租赁若干量</w:t>
                  </w:r>
                </w:p>
              </w:tc>
            </w:tr>
            <w:tr w14:paraId="3E823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16" w:type="pct"/>
                  <w:vMerge w:val="restart"/>
                  <w:tcBorders>
                    <w:top w:val="nil"/>
                    <w:left w:val="nil"/>
                    <w:bottom w:val="single" w:color="000000" w:sz="8" w:space="0"/>
                    <w:right w:val="single" w:color="000000" w:sz="8" w:space="0"/>
                  </w:tcBorders>
                  <w:shd w:val="clear" w:color="auto" w:fill="auto"/>
                  <w:vAlign w:val="center"/>
                </w:tcPr>
                <w:p w14:paraId="65E127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固废</w:t>
                  </w:r>
                </w:p>
              </w:tc>
              <w:tc>
                <w:tcPr>
                  <w:tcW w:w="565" w:type="pct"/>
                  <w:tcBorders>
                    <w:top w:val="nil"/>
                    <w:left w:val="nil"/>
                    <w:bottom w:val="single" w:color="000000" w:sz="8" w:space="0"/>
                    <w:right w:val="single" w:color="000000" w:sz="8" w:space="0"/>
                  </w:tcBorders>
                  <w:shd w:val="clear" w:color="auto" w:fill="auto"/>
                  <w:vAlign w:val="center"/>
                </w:tcPr>
                <w:p w14:paraId="7F7B00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施工期</w:t>
                  </w:r>
                </w:p>
              </w:tc>
              <w:tc>
                <w:tcPr>
                  <w:tcW w:w="1500" w:type="pct"/>
                  <w:tcBorders>
                    <w:top w:val="nil"/>
                    <w:left w:val="nil"/>
                    <w:bottom w:val="single" w:color="000000" w:sz="8" w:space="0"/>
                    <w:right w:val="single" w:color="000000" w:sz="8" w:space="0"/>
                  </w:tcBorders>
                  <w:shd w:val="clear" w:color="auto" w:fill="auto"/>
                  <w:vAlign w:val="center"/>
                </w:tcPr>
                <w:p w14:paraId="7B984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生活垃圾圾清运车辆</w:t>
                  </w:r>
                </w:p>
              </w:tc>
              <w:tc>
                <w:tcPr>
                  <w:tcW w:w="820" w:type="pct"/>
                  <w:tcBorders>
                    <w:top w:val="nil"/>
                    <w:left w:val="nil"/>
                    <w:bottom w:val="single" w:color="000000" w:sz="8" w:space="0"/>
                    <w:right w:val="single" w:color="000000" w:sz="8" w:space="0"/>
                  </w:tcBorders>
                  <w:shd w:val="clear" w:color="auto" w:fill="auto"/>
                  <w:vAlign w:val="center"/>
                </w:tcPr>
                <w:p w14:paraId="0C83E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498" w:type="pct"/>
                  <w:tcBorders>
                    <w:top w:val="nil"/>
                    <w:left w:val="nil"/>
                    <w:bottom w:val="single" w:color="000000" w:sz="8" w:space="0"/>
                    <w:right w:val="nil"/>
                  </w:tcBorders>
                  <w:shd w:val="clear" w:color="auto" w:fill="auto"/>
                  <w:vAlign w:val="center"/>
                </w:tcPr>
                <w:p w14:paraId="165F2C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租赁垃圾清运车</w:t>
                  </w:r>
                  <w:r>
                    <w:rPr>
                      <w:rStyle w:val="43"/>
                      <w:rFonts w:eastAsia="宋体"/>
                      <w:color w:val="auto"/>
                      <w:sz w:val="21"/>
                      <w:szCs w:val="21"/>
                      <w:highlight w:val="none"/>
                      <w:lang w:val="en-US" w:eastAsia="zh-CN" w:bidi="ar"/>
                    </w:rPr>
                    <w:t>2</w:t>
                  </w:r>
                  <w:r>
                    <w:rPr>
                      <w:rStyle w:val="44"/>
                      <w:color w:val="auto"/>
                      <w:sz w:val="21"/>
                      <w:szCs w:val="21"/>
                      <w:highlight w:val="none"/>
                      <w:lang w:val="en-US" w:eastAsia="zh-CN" w:bidi="ar"/>
                    </w:rPr>
                    <w:t>辆</w:t>
                  </w:r>
                </w:p>
              </w:tc>
            </w:tr>
            <w:tr w14:paraId="7CF5C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16" w:type="pct"/>
                  <w:vMerge w:val="continue"/>
                  <w:tcBorders>
                    <w:top w:val="nil"/>
                    <w:left w:val="nil"/>
                    <w:bottom w:val="single" w:color="000000" w:sz="8" w:space="0"/>
                    <w:right w:val="single" w:color="000000" w:sz="8" w:space="0"/>
                  </w:tcBorders>
                  <w:shd w:val="clear" w:color="auto" w:fill="auto"/>
                  <w:vAlign w:val="center"/>
                </w:tcPr>
                <w:p w14:paraId="024D42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highlight w:val="none"/>
                      <w:u w:val="none"/>
                    </w:rPr>
                  </w:pPr>
                </w:p>
              </w:tc>
              <w:tc>
                <w:tcPr>
                  <w:tcW w:w="565" w:type="pct"/>
                  <w:tcBorders>
                    <w:top w:val="nil"/>
                    <w:left w:val="nil"/>
                    <w:bottom w:val="single" w:color="000000" w:sz="8" w:space="0"/>
                    <w:right w:val="single" w:color="000000" w:sz="8" w:space="0"/>
                  </w:tcBorders>
                  <w:shd w:val="clear" w:color="auto" w:fill="auto"/>
                  <w:vAlign w:val="center"/>
                </w:tcPr>
                <w:p w14:paraId="38EBE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营运期</w:t>
                  </w:r>
                </w:p>
              </w:tc>
              <w:tc>
                <w:tcPr>
                  <w:tcW w:w="1500" w:type="pct"/>
                  <w:tcBorders>
                    <w:top w:val="nil"/>
                    <w:left w:val="nil"/>
                    <w:bottom w:val="single" w:color="000000" w:sz="8" w:space="0"/>
                    <w:right w:val="single" w:color="000000" w:sz="8" w:space="0"/>
                  </w:tcBorders>
                  <w:shd w:val="clear" w:color="auto" w:fill="auto"/>
                  <w:vAlign w:val="center"/>
                </w:tcPr>
                <w:p w14:paraId="1018D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生活垃圾收集系统</w:t>
                  </w:r>
                </w:p>
              </w:tc>
              <w:tc>
                <w:tcPr>
                  <w:tcW w:w="820" w:type="pct"/>
                  <w:tcBorders>
                    <w:top w:val="nil"/>
                    <w:left w:val="nil"/>
                    <w:bottom w:val="single" w:color="000000" w:sz="8" w:space="0"/>
                    <w:right w:val="single" w:color="000000" w:sz="8" w:space="0"/>
                  </w:tcBorders>
                  <w:shd w:val="clear" w:color="auto" w:fill="auto"/>
                  <w:vAlign w:val="center"/>
                </w:tcPr>
                <w:p w14:paraId="740D4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98" w:type="pct"/>
                  <w:tcBorders>
                    <w:top w:val="nil"/>
                    <w:left w:val="nil"/>
                    <w:bottom w:val="single" w:color="000000" w:sz="8" w:space="0"/>
                    <w:right w:val="nil"/>
                  </w:tcBorders>
                  <w:shd w:val="clear" w:color="auto" w:fill="auto"/>
                  <w:vAlign w:val="center"/>
                </w:tcPr>
                <w:p w14:paraId="6F041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根据实际设置垃圾桶若干</w:t>
                  </w:r>
                </w:p>
              </w:tc>
            </w:tr>
            <w:tr w14:paraId="75BA7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616" w:type="pct"/>
                  <w:vMerge w:val="restart"/>
                  <w:tcBorders>
                    <w:top w:val="nil"/>
                    <w:left w:val="nil"/>
                    <w:bottom w:val="single" w:color="000000" w:sz="8" w:space="0"/>
                    <w:right w:val="single" w:color="000000" w:sz="8" w:space="0"/>
                  </w:tcBorders>
                  <w:shd w:val="clear" w:color="auto" w:fill="auto"/>
                  <w:vAlign w:val="center"/>
                </w:tcPr>
                <w:p w14:paraId="4AA2A8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噪声</w:t>
                  </w:r>
                </w:p>
              </w:tc>
              <w:tc>
                <w:tcPr>
                  <w:tcW w:w="565" w:type="pct"/>
                  <w:vMerge w:val="restart"/>
                  <w:tcBorders>
                    <w:top w:val="nil"/>
                    <w:left w:val="nil"/>
                    <w:bottom w:val="single" w:color="000000" w:sz="8" w:space="0"/>
                    <w:right w:val="single" w:color="000000" w:sz="8" w:space="0"/>
                  </w:tcBorders>
                  <w:shd w:val="clear" w:color="auto" w:fill="auto"/>
                  <w:vAlign w:val="center"/>
                </w:tcPr>
                <w:p w14:paraId="6251E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施工期</w:t>
                  </w:r>
                </w:p>
              </w:tc>
              <w:tc>
                <w:tcPr>
                  <w:tcW w:w="1500" w:type="pct"/>
                  <w:tcBorders>
                    <w:top w:val="nil"/>
                    <w:left w:val="nil"/>
                    <w:bottom w:val="single" w:color="000000" w:sz="8" w:space="0"/>
                    <w:right w:val="single" w:color="000000" w:sz="8" w:space="0"/>
                  </w:tcBorders>
                  <w:shd w:val="clear" w:color="auto" w:fill="auto"/>
                  <w:vAlign w:val="center"/>
                </w:tcPr>
                <w:p w14:paraId="37512E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移动隔声、隔尘挡板</w:t>
                  </w:r>
                </w:p>
              </w:tc>
              <w:tc>
                <w:tcPr>
                  <w:tcW w:w="820" w:type="pct"/>
                  <w:tcBorders>
                    <w:top w:val="nil"/>
                    <w:left w:val="nil"/>
                    <w:bottom w:val="single" w:color="000000" w:sz="8" w:space="0"/>
                    <w:right w:val="single" w:color="000000" w:sz="8" w:space="0"/>
                  </w:tcBorders>
                  <w:shd w:val="clear" w:color="auto" w:fill="auto"/>
                  <w:vAlign w:val="center"/>
                </w:tcPr>
                <w:p w14:paraId="5B064F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10</w:t>
                  </w:r>
                </w:p>
              </w:tc>
              <w:tc>
                <w:tcPr>
                  <w:tcW w:w="1498" w:type="pct"/>
                  <w:tcBorders>
                    <w:top w:val="nil"/>
                    <w:left w:val="nil"/>
                    <w:bottom w:val="single" w:color="000000" w:sz="8" w:space="0"/>
                    <w:right w:val="nil"/>
                  </w:tcBorders>
                  <w:shd w:val="clear" w:color="auto" w:fill="auto"/>
                  <w:vAlign w:val="center"/>
                </w:tcPr>
                <w:p w14:paraId="349BB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长度覆盖整个环境保护目标，同时两侧各外延</w:t>
                  </w:r>
                  <w:r>
                    <w:rPr>
                      <w:rStyle w:val="43"/>
                      <w:rFonts w:eastAsia="宋体"/>
                      <w:color w:val="auto"/>
                      <w:sz w:val="21"/>
                      <w:szCs w:val="21"/>
                      <w:highlight w:val="none"/>
                      <w:lang w:val="en-US" w:eastAsia="zh-CN" w:bidi="ar"/>
                    </w:rPr>
                    <w:t>50m</w:t>
                  </w:r>
                  <w:r>
                    <w:rPr>
                      <w:rStyle w:val="44"/>
                      <w:color w:val="auto"/>
                      <w:sz w:val="21"/>
                      <w:szCs w:val="21"/>
                      <w:highlight w:val="none"/>
                      <w:lang w:val="en-US" w:eastAsia="zh-CN" w:bidi="ar"/>
                    </w:rPr>
                    <w:t>，高度</w:t>
                  </w:r>
                  <w:r>
                    <w:rPr>
                      <w:rStyle w:val="43"/>
                      <w:rFonts w:eastAsia="宋体"/>
                      <w:color w:val="auto"/>
                      <w:sz w:val="21"/>
                      <w:szCs w:val="21"/>
                      <w:highlight w:val="none"/>
                      <w:lang w:val="en-US" w:eastAsia="zh-CN" w:bidi="ar"/>
                    </w:rPr>
                    <w:t>3m</w:t>
                  </w:r>
                  <w:r>
                    <w:rPr>
                      <w:rStyle w:val="44"/>
                      <w:color w:val="auto"/>
                      <w:sz w:val="21"/>
                      <w:szCs w:val="21"/>
                      <w:highlight w:val="none"/>
                      <w:lang w:val="en-US" w:eastAsia="zh-CN" w:bidi="ar"/>
                    </w:rPr>
                    <w:t>，敏感目标段施工时</w:t>
                  </w:r>
                </w:p>
              </w:tc>
            </w:tr>
            <w:tr w14:paraId="0FA80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16" w:type="pct"/>
                  <w:vMerge w:val="continue"/>
                  <w:tcBorders>
                    <w:top w:val="nil"/>
                    <w:left w:val="nil"/>
                    <w:bottom w:val="single" w:color="000000" w:sz="8" w:space="0"/>
                    <w:right w:val="single" w:color="000000" w:sz="8" w:space="0"/>
                  </w:tcBorders>
                  <w:shd w:val="clear" w:color="auto" w:fill="auto"/>
                  <w:vAlign w:val="center"/>
                </w:tcPr>
                <w:p w14:paraId="457281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highlight w:val="none"/>
                      <w:u w:val="none"/>
                    </w:rPr>
                  </w:pPr>
                </w:p>
              </w:tc>
              <w:tc>
                <w:tcPr>
                  <w:tcW w:w="565" w:type="pct"/>
                  <w:vMerge w:val="continue"/>
                  <w:tcBorders>
                    <w:top w:val="nil"/>
                    <w:left w:val="nil"/>
                    <w:bottom w:val="single" w:color="000000" w:sz="8" w:space="0"/>
                    <w:right w:val="single" w:color="000000" w:sz="8" w:space="0"/>
                  </w:tcBorders>
                  <w:shd w:val="clear" w:color="auto" w:fill="auto"/>
                  <w:vAlign w:val="center"/>
                </w:tcPr>
                <w:p w14:paraId="7D5103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highlight w:val="none"/>
                      <w:u w:val="none"/>
                    </w:rPr>
                  </w:pPr>
                </w:p>
              </w:tc>
              <w:tc>
                <w:tcPr>
                  <w:tcW w:w="1500" w:type="pct"/>
                  <w:tcBorders>
                    <w:top w:val="nil"/>
                    <w:left w:val="nil"/>
                    <w:bottom w:val="single" w:color="000000" w:sz="8" w:space="0"/>
                    <w:right w:val="single" w:color="000000" w:sz="8" w:space="0"/>
                  </w:tcBorders>
                  <w:shd w:val="clear" w:color="auto" w:fill="auto"/>
                  <w:vAlign w:val="center"/>
                </w:tcPr>
                <w:p w14:paraId="144700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设备隔声减震措施</w:t>
                  </w:r>
                </w:p>
              </w:tc>
              <w:tc>
                <w:tcPr>
                  <w:tcW w:w="820" w:type="pct"/>
                  <w:tcBorders>
                    <w:top w:val="nil"/>
                    <w:left w:val="nil"/>
                    <w:bottom w:val="single" w:color="000000" w:sz="8" w:space="0"/>
                    <w:right w:val="single" w:color="000000" w:sz="8" w:space="0"/>
                  </w:tcBorders>
                  <w:shd w:val="clear" w:color="auto" w:fill="auto"/>
                  <w:vAlign w:val="center"/>
                </w:tcPr>
                <w:p w14:paraId="02CC7D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5</w:t>
                  </w:r>
                </w:p>
              </w:tc>
              <w:tc>
                <w:tcPr>
                  <w:tcW w:w="1498" w:type="pct"/>
                  <w:tcBorders>
                    <w:top w:val="nil"/>
                    <w:left w:val="nil"/>
                    <w:bottom w:val="single" w:color="000000" w:sz="8" w:space="0"/>
                    <w:right w:val="nil"/>
                  </w:tcBorders>
                  <w:shd w:val="clear" w:color="auto" w:fill="auto"/>
                  <w:vAlign w:val="center"/>
                </w:tcPr>
                <w:p w14:paraId="1444B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设备隔声、减震措施</w:t>
                  </w:r>
                </w:p>
              </w:tc>
            </w:tr>
            <w:tr w14:paraId="042D6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6" w:type="pct"/>
                  <w:vMerge w:val="continue"/>
                  <w:tcBorders>
                    <w:top w:val="nil"/>
                    <w:left w:val="nil"/>
                    <w:bottom w:val="single" w:color="000000" w:sz="8" w:space="0"/>
                    <w:right w:val="single" w:color="000000" w:sz="8" w:space="0"/>
                  </w:tcBorders>
                  <w:shd w:val="clear" w:color="auto" w:fill="auto"/>
                  <w:vAlign w:val="center"/>
                </w:tcPr>
                <w:p w14:paraId="3ACD6A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highlight w:val="none"/>
                      <w:u w:val="none"/>
                    </w:rPr>
                  </w:pPr>
                </w:p>
              </w:tc>
              <w:tc>
                <w:tcPr>
                  <w:tcW w:w="565" w:type="pct"/>
                  <w:tcBorders>
                    <w:top w:val="nil"/>
                    <w:left w:val="nil"/>
                    <w:bottom w:val="single" w:color="000000" w:sz="8" w:space="0"/>
                    <w:right w:val="single" w:color="000000" w:sz="8" w:space="0"/>
                  </w:tcBorders>
                  <w:shd w:val="clear" w:color="auto" w:fill="auto"/>
                  <w:vAlign w:val="center"/>
                </w:tcPr>
                <w:p w14:paraId="058FF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运行期</w:t>
                  </w:r>
                </w:p>
              </w:tc>
              <w:tc>
                <w:tcPr>
                  <w:tcW w:w="1500" w:type="pct"/>
                  <w:tcBorders>
                    <w:top w:val="nil"/>
                    <w:left w:val="nil"/>
                    <w:bottom w:val="single" w:color="000000" w:sz="8" w:space="0"/>
                    <w:right w:val="single" w:color="000000" w:sz="8" w:space="0"/>
                  </w:tcBorders>
                  <w:shd w:val="clear" w:color="auto" w:fill="auto"/>
                  <w:vAlign w:val="center"/>
                </w:tcPr>
                <w:p w14:paraId="4C9536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安装限速标志、禁止鸣笛标志</w:t>
                  </w:r>
                </w:p>
              </w:tc>
              <w:tc>
                <w:tcPr>
                  <w:tcW w:w="820" w:type="pct"/>
                  <w:tcBorders>
                    <w:top w:val="nil"/>
                    <w:left w:val="nil"/>
                    <w:bottom w:val="single" w:color="000000" w:sz="8" w:space="0"/>
                    <w:right w:val="single" w:color="000000" w:sz="8" w:space="0"/>
                  </w:tcBorders>
                  <w:shd w:val="clear" w:color="auto" w:fill="auto"/>
                  <w:vAlign w:val="center"/>
                </w:tcPr>
                <w:p w14:paraId="68595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98" w:type="pct"/>
                  <w:tcBorders>
                    <w:top w:val="nil"/>
                    <w:left w:val="nil"/>
                    <w:bottom w:val="single" w:color="000000" w:sz="8" w:space="0"/>
                    <w:right w:val="nil"/>
                  </w:tcBorders>
                  <w:shd w:val="clear" w:color="auto" w:fill="auto"/>
                  <w:vAlign w:val="center"/>
                </w:tcPr>
                <w:p w14:paraId="1CE076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63170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616" w:type="pct"/>
                  <w:tcBorders>
                    <w:top w:val="nil"/>
                    <w:left w:val="nil"/>
                    <w:bottom w:val="single" w:color="000000" w:sz="8" w:space="0"/>
                    <w:right w:val="single" w:color="000000" w:sz="8" w:space="0"/>
                  </w:tcBorders>
                  <w:shd w:val="clear" w:color="auto" w:fill="auto"/>
                  <w:vAlign w:val="center"/>
                </w:tcPr>
                <w:p w14:paraId="3A5CB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风险</w:t>
                  </w:r>
                </w:p>
              </w:tc>
              <w:tc>
                <w:tcPr>
                  <w:tcW w:w="565" w:type="pct"/>
                  <w:tcBorders>
                    <w:top w:val="nil"/>
                    <w:left w:val="nil"/>
                    <w:bottom w:val="single" w:color="000000" w:sz="8" w:space="0"/>
                    <w:right w:val="single" w:color="000000" w:sz="8" w:space="0"/>
                  </w:tcBorders>
                  <w:shd w:val="clear" w:color="auto" w:fill="auto"/>
                  <w:vAlign w:val="center"/>
                </w:tcPr>
                <w:p w14:paraId="6EE532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运营期</w:t>
                  </w:r>
                </w:p>
              </w:tc>
              <w:tc>
                <w:tcPr>
                  <w:tcW w:w="1500" w:type="pct"/>
                  <w:tcBorders>
                    <w:top w:val="nil"/>
                    <w:left w:val="nil"/>
                    <w:bottom w:val="single" w:color="000000" w:sz="8" w:space="0"/>
                    <w:right w:val="single" w:color="000000" w:sz="8" w:space="0"/>
                  </w:tcBorders>
                  <w:shd w:val="clear" w:color="auto" w:fill="auto"/>
                  <w:vAlign w:val="center"/>
                </w:tcPr>
                <w:p w14:paraId="53CCA9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风险应急预案</w:t>
                  </w:r>
                </w:p>
              </w:tc>
              <w:tc>
                <w:tcPr>
                  <w:tcW w:w="820" w:type="pct"/>
                  <w:tcBorders>
                    <w:top w:val="nil"/>
                    <w:left w:val="nil"/>
                    <w:bottom w:val="single" w:color="000000" w:sz="8" w:space="0"/>
                    <w:right w:val="single" w:color="000000" w:sz="8" w:space="0"/>
                  </w:tcBorders>
                  <w:shd w:val="clear" w:color="auto" w:fill="auto"/>
                  <w:vAlign w:val="center"/>
                </w:tcPr>
                <w:p w14:paraId="5593E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498" w:type="pct"/>
                  <w:tcBorders>
                    <w:top w:val="nil"/>
                    <w:left w:val="nil"/>
                    <w:bottom w:val="single" w:color="000000" w:sz="8" w:space="0"/>
                    <w:right w:val="nil"/>
                  </w:tcBorders>
                  <w:shd w:val="clear" w:color="auto" w:fill="auto"/>
                  <w:vAlign w:val="center"/>
                </w:tcPr>
                <w:p w14:paraId="00620A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运营期管理单位编制突发环境事件应急预案</w:t>
                  </w:r>
                </w:p>
              </w:tc>
            </w:tr>
            <w:tr w14:paraId="29BD4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pct"/>
                  <w:tcBorders>
                    <w:top w:val="nil"/>
                    <w:left w:val="nil"/>
                    <w:bottom w:val="single" w:color="000000" w:sz="8" w:space="0"/>
                    <w:right w:val="single" w:color="000000" w:sz="8" w:space="0"/>
                  </w:tcBorders>
                  <w:shd w:val="clear" w:color="auto" w:fill="auto"/>
                  <w:vAlign w:val="center"/>
                </w:tcPr>
                <w:p w14:paraId="0D39BA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生态环境保护</w:t>
                  </w:r>
                </w:p>
              </w:tc>
              <w:tc>
                <w:tcPr>
                  <w:tcW w:w="2065" w:type="pct"/>
                  <w:gridSpan w:val="2"/>
                  <w:tcBorders>
                    <w:top w:val="nil"/>
                    <w:left w:val="nil"/>
                    <w:bottom w:val="single" w:color="000000" w:sz="8" w:space="0"/>
                    <w:right w:val="single" w:color="000000" w:sz="8" w:space="0"/>
                  </w:tcBorders>
                  <w:shd w:val="clear" w:color="auto" w:fill="auto"/>
                  <w:vAlign w:val="center"/>
                </w:tcPr>
                <w:p w14:paraId="3BFBC7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绿化</w:t>
                  </w:r>
                </w:p>
              </w:tc>
              <w:tc>
                <w:tcPr>
                  <w:tcW w:w="820" w:type="pct"/>
                  <w:tcBorders>
                    <w:top w:val="nil"/>
                    <w:left w:val="nil"/>
                    <w:bottom w:val="single" w:color="000000" w:sz="8" w:space="0"/>
                    <w:right w:val="single" w:color="000000" w:sz="8" w:space="0"/>
                  </w:tcBorders>
                  <w:shd w:val="clear" w:color="auto" w:fill="auto"/>
                  <w:vAlign w:val="center"/>
                </w:tcPr>
                <w:p w14:paraId="1E01C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98" w:type="pct"/>
                  <w:tcBorders>
                    <w:top w:val="nil"/>
                    <w:left w:val="nil"/>
                    <w:bottom w:val="single" w:color="000000" w:sz="8" w:space="0"/>
                    <w:right w:val="nil"/>
                  </w:tcBorders>
                  <w:shd w:val="clear" w:color="auto" w:fill="auto"/>
                  <w:vAlign w:val="center"/>
                </w:tcPr>
                <w:p w14:paraId="592D5B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主线设置边坡植草防护，绿化布置采用草坪为主</w:t>
                  </w:r>
                </w:p>
              </w:tc>
            </w:tr>
            <w:tr w14:paraId="0B45F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2681" w:type="pct"/>
                  <w:gridSpan w:val="3"/>
                  <w:tcBorders>
                    <w:top w:val="nil"/>
                    <w:left w:val="nil"/>
                    <w:bottom w:val="single" w:color="000000" w:sz="8" w:space="0"/>
                    <w:right w:val="single" w:color="000000" w:sz="8" w:space="0"/>
                  </w:tcBorders>
                  <w:shd w:val="clear" w:color="auto" w:fill="auto"/>
                  <w:vAlign w:val="center"/>
                </w:tcPr>
                <w:p w14:paraId="7C93A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环境保护工程设计</w:t>
                  </w:r>
                </w:p>
              </w:tc>
              <w:tc>
                <w:tcPr>
                  <w:tcW w:w="1257" w:type="dxa"/>
                  <w:tcBorders>
                    <w:top w:val="nil"/>
                    <w:left w:val="nil"/>
                    <w:bottom w:val="single" w:color="000000" w:sz="8" w:space="0"/>
                    <w:right w:val="single" w:color="000000" w:sz="8" w:space="0"/>
                  </w:tcBorders>
                  <w:shd w:val="clear" w:color="auto" w:fill="auto"/>
                  <w:vAlign w:val="center"/>
                </w:tcPr>
                <w:p w14:paraId="304EC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1498" w:type="pct"/>
                  <w:tcBorders>
                    <w:top w:val="nil"/>
                    <w:left w:val="nil"/>
                    <w:bottom w:val="single" w:color="000000" w:sz="8" w:space="0"/>
                    <w:right w:val="nil"/>
                  </w:tcBorders>
                  <w:shd w:val="clear" w:color="auto" w:fill="auto"/>
                  <w:vAlign w:val="center"/>
                </w:tcPr>
                <w:p w14:paraId="2BA71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确保环境工程质量</w:t>
                  </w:r>
                </w:p>
              </w:tc>
            </w:tr>
            <w:tr w14:paraId="5FABC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81" w:type="pct"/>
                  <w:gridSpan w:val="3"/>
                  <w:tcBorders>
                    <w:top w:val="nil"/>
                    <w:left w:val="nil"/>
                    <w:bottom w:val="single" w:color="000000" w:sz="8" w:space="0"/>
                    <w:right w:val="single" w:color="000000" w:sz="8" w:space="0"/>
                  </w:tcBorders>
                  <w:shd w:val="clear" w:color="auto" w:fill="auto"/>
                  <w:vAlign w:val="center"/>
                </w:tcPr>
                <w:p w14:paraId="584F08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环境监测</w:t>
                  </w:r>
                </w:p>
              </w:tc>
              <w:tc>
                <w:tcPr>
                  <w:tcW w:w="1257" w:type="dxa"/>
                  <w:tcBorders>
                    <w:top w:val="nil"/>
                    <w:left w:val="nil"/>
                    <w:bottom w:val="single" w:color="000000" w:sz="8" w:space="0"/>
                    <w:right w:val="single" w:color="000000" w:sz="8" w:space="0"/>
                  </w:tcBorders>
                  <w:shd w:val="clear" w:color="auto" w:fill="auto"/>
                  <w:vAlign w:val="center"/>
                </w:tcPr>
                <w:p w14:paraId="1A5CB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498" w:type="pct"/>
                  <w:tcBorders>
                    <w:top w:val="nil"/>
                    <w:left w:val="nil"/>
                    <w:bottom w:val="single" w:color="000000" w:sz="8" w:space="0"/>
                    <w:right w:val="nil"/>
                  </w:tcBorders>
                  <w:shd w:val="clear" w:color="auto" w:fill="auto"/>
                  <w:vAlign w:val="center"/>
                </w:tcPr>
                <w:p w14:paraId="0B14A8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发挥其施工期和营运期监控作用</w:t>
                  </w:r>
                </w:p>
              </w:tc>
            </w:tr>
            <w:tr w14:paraId="2163C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2681" w:type="pct"/>
                  <w:gridSpan w:val="3"/>
                  <w:tcBorders>
                    <w:top w:val="nil"/>
                    <w:left w:val="nil"/>
                    <w:bottom w:val="single" w:color="000000" w:sz="8" w:space="0"/>
                    <w:right w:val="single" w:color="000000" w:sz="8" w:space="0"/>
                  </w:tcBorders>
                  <w:shd w:val="clear" w:color="auto" w:fill="auto"/>
                  <w:vAlign w:val="center"/>
                </w:tcPr>
                <w:p w14:paraId="70FB9B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宣传教育</w:t>
                  </w:r>
                </w:p>
              </w:tc>
              <w:tc>
                <w:tcPr>
                  <w:tcW w:w="1257" w:type="dxa"/>
                  <w:tcBorders>
                    <w:top w:val="nil"/>
                    <w:left w:val="nil"/>
                    <w:bottom w:val="single" w:color="000000" w:sz="8" w:space="0"/>
                    <w:right w:val="single" w:color="000000" w:sz="8" w:space="0"/>
                  </w:tcBorders>
                  <w:shd w:val="clear" w:color="auto" w:fill="auto"/>
                  <w:vAlign w:val="center"/>
                </w:tcPr>
                <w:p w14:paraId="19843E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98" w:type="pct"/>
                  <w:tcBorders>
                    <w:top w:val="nil"/>
                    <w:left w:val="nil"/>
                    <w:bottom w:val="single" w:color="000000" w:sz="8" w:space="0"/>
                    <w:right w:val="nil"/>
                  </w:tcBorders>
                  <w:shd w:val="clear" w:color="auto" w:fill="auto"/>
                  <w:vAlign w:val="center"/>
                </w:tcPr>
                <w:p w14:paraId="2F8BD7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提高环保意识</w:t>
                  </w:r>
                </w:p>
              </w:tc>
            </w:tr>
            <w:tr w14:paraId="34D5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681" w:type="pct"/>
                  <w:gridSpan w:val="3"/>
                  <w:tcBorders>
                    <w:top w:val="nil"/>
                    <w:left w:val="nil"/>
                    <w:bottom w:val="single" w:color="000000" w:sz="8" w:space="0"/>
                    <w:right w:val="single" w:color="000000" w:sz="8" w:space="0"/>
                  </w:tcBorders>
                  <w:shd w:val="clear" w:color="auto" w:fill="auto"/>
                  <w:vAlign w:val="center"/>
                </w:tcPr>
                <w:p w14:paraId="16FDF2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环境保护管理</w:t>
                  </w:r>
                </w:p>
              </w:tc>
              <w:tc>
                <w:tcPr>
                  <w:tcW w:w="1257" w:type="dxa"/>
                  <w:tcBorders>
                    <w:top w:val="nil"/>
                    <w:left w:val="nil"/>
                    <w:bottom w:val="single" w:color="000000" w:sz="8" w:space="0"/>
                    <w:right w:val="single" w:color="000000" w:sz="8" w:space="0"/>
                  </w:tcBorders>
                  <w:shd w:val="clear" w:color="auto" w:fill="auto"/>
                  <w:vAlign w:val="center"/>
                </w:tcPr>
                <w:p w14:paraId="172966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498" w:type="pct"/>
                  <w:tcBorders>
                    <w:top w:val="nil"/>
                    <w:left w:val="nil"/>
                    <w:bottom w:val="single" w:color="000000" w:sz="8" w:space="0"/>
                    <w:right w:val="nil"/>
                  </w:tcBorders>
                  <w:shd w:val="clear" w:color="auto" w:fill="auto"/>
                  <w:vAlign w:val="center"/>
                </w:tcPr>
                <w:p w14:paraId="0F60AB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保证各项环保措施落实和执行</w:t>
                  </w:r>
                </w:p>
              </w:tc>
            </w:tr>
            <w:tr w14:paraId="42224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681" w:type="pct"/>
                  <w:gridSpan w:val="3"/>
                  <w:tcBorders>
                    <w:top w:val="nil"/>
                    <w:left w:val="nil"/>
                    <w:bottom w:val="single" w:color="000000" w:sz="8" w:space="0"/>
                    <w:right w:val="single" w:color="000000" w:sz="8" w:space="0"/>
                  </w:tcBorders>
                  <w:shd w:val="clear" w:color="auto" w:fill="auto"/>
                  <w:vAlign w:val="center"/>
                </w:tcPr>
                <w:p w14:paraId="7B42E3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环保竣工验收调查费用</w:t>
                  </w:r>
                </w:p>
              </w:tc>
              <w:tc>
                <w:tcPr>
                  <w:tcW w:w="1257" w:type="dxa"/>
                  <w:tcBorders>
                    <w:top w:val="nil"/>
                    <w:left w:val="nil"/>
                    <w:bottom w:val="single" w:color="000000" w:sz="8" w:space="0"/>
                    <w:right w:val="single" w:color="000000" w:sz="8" w:space="0"/>
                  </w:tcBorders>
                  <w:shd w:val="clear" w:color="auto" w:fill="auto"/>
                  <w:vAlign w:val="center"/>
                </w:tcPr>
                <w:p w14:paraId="3497C2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498" w:type="pct"/>
                  <w:tcBorders>
                    <w:top w:val="nil"/>
                    <w:left w:val="nil"/>
                    <w:bottom w:val="single" w:color="000000" w:sz="8" w:space="0"/>
                    <w:right w:val="nil"/>
                  </w:tcBorders>
                  <w:shd w:val="clear" w:color="auto" w:fill="auto"/>
                  <w:vAlign w:val="center"/>
                </w:tcPr>
                <w:p w14:paraId="3864B7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提高环境管理水平，增强环境保护意识</w:t>
                  </w:r>
                </w:p>
              </w:tc>
            </w:tr>
            <w:tr w14:paraId="4D6C6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1" w:type="pct"/>
                  <w:gridSpan w:val="3"/>
                  <w:tcBorders>
                    <w:top w:val="nil"/>
                    <w:left w:val="nil"/>
                    <w:bottom w:val="single" w:color="000000" w:sz="8" w:space="0"/>
                    <w:right w:val="single" w:color="000000" w:sz="8" w:space="0"/>
                  </w:tcBorders>
                  <w:shd w:val="clear" w:color="auto" w:fill="auto"/>
                  <w:vAlign w:val="center"/>
                </w:tcPr>
                <w:p w14:paraId="42B42A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以上环保投资小计</w:t>
                  </w:r>
                </w:p>
              </w:tc>
              <w:tc>
                <w:tcPr>
                  <w:tcW w:w="1257" w:type="dxa"/>
                  <w:tcBorders>
                    <w:top w:val="nil"/>
                    <w:left w:val="nil"/>
                    <w:bottom w:val="single" w:color="000000" w:sz="8" w:space="0"/>
                    <w:right w:val="single" w:color="000000" w:sz="8" w:space="0"/>
                  </w:tcBorders>
                  <w:shd w:val="clear" w:color="auto" w:fill="auto"/>
                  <w:vAlign w:val="center"/>
                </w:tcPr>
                <w:p w14:paraId="1B1794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89</w:t>
                  </w:r>
                </w:p>
              </w:tc>
              <w:tc>
                <w:tcPr>
                  <w:tcW w:w="1498" w:type="pct"/>
                  <w:tcBorders>
                    <w:top w:val="nil"/>
                    <w:left w:val="nil"/>
                    <w:bottom w:val="single" w:color="000000" w:sz="8" w:space="0"/>
                    <w:right w:val="nil"/>
                  </w:tcBorders>
                  <w:shd w:val="clear" w:color="auto" w:fill="auto"/>
                  <w:vAlign w:val="center"/>
                </w:tcPr>
                <w:p w14:paraId="35FB70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79E0C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1" w:type="pct"/>
                  <w:gridSpan w:val="3"/>
                  <w:tcBorders>
                    <w:top w:val="nil"/>
                    <w:left w:val="nil"/>
                    <w:bottom w:val="single" w:color="000000" w:sz="8" w:space="0"/>
                    <w:right w:val="single" w:color="000000" w:sz="8" w:space="0"/>
                  </w:tcBorders>
                  <w:shd w:val="clear" w:color="auto" w:fill="auto"/>
                  <w:vAlign w:val="center"/>
                </w:tcPr>
                <w:p w14:paraId="7FDAA8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不可预见费（</w:t>
                  </w:r>
                  <w:r>
                    <w:rPr>
                      <w:rStyle w:val="43"/>
                      <w:rFonts w:eastAsia="宋体"/>
                      <w:color w:val="auto"/>
                      <w:sz w:val="21"/>
                      <w:szCs w:val="21"/>
                      <w:highlight w:val="none"/>
                      <w:lang w:val="en-US" w:eastAsia="zh-CN" w:bidi="ar"/>
                    </w:rPr>
                    <w:t>=</w:t>
                  </w:r>
                  <w:r>
                    <w:rPr>
                      <w:rStyle w:val="44"/>
                      <w:color w:val="auto"/>
                      <w:sz w:val="21"/>
                      <w:szCs w:val="21"/>
                      <w:highlight w:val="none"/>
                      <w:lang w:val="en-US" w:eastAsia="zh-CN" w:bidi="ar"/>
                    </w:rPr>
                    <w:t>小计</w:t>
                  </w:r>
                  <w:r>
                    <w:rPr>
                      <w:rStyle w:val="43"/>
                      <w:rFonts w:eastAsia="宋体"/>
                      <w:color w:val="auto"/>
                      <w:sz w:val="21"/>
                      <w:szCs w:val="21"/>
                      <w:highlight w:val="none"/>
                      <w:lang w:val="en-US" w:eastAsia="zh-CN" w:bidi="ar"/>
                    </w:rPr>
                    <w:t>×5%</w:t>
                  </w:r>
                  <w:r>
                    <w:rPr>
                      <w:rStyle w:val="44"/>
                      <w:color w:val="auto"/>
                      <w:sz w:val="21"/>
                      <w:szCs w:val="21"/>
                      <w:highlight w:val="none"/>
                      <w:lang w:val="en-US" w:eastAsia="zh-CN" w:bidi="ar"/>
                    </w:rPr>
                    <w:t>）</w:t>
                  </w:r>
                </w:p>
              </w:tc>
              <w:tc>
                <w:tcPr>
                  <w:tcW w:w="1257" w:type="dxa"/>
                  <w:tcBorders>
                    <w:top w:val="nil"/>
                    <w:left w:val="nil"/>
                    <w:bottom w:val="single" w:color="000000" w:sz="8" w:space="0"/>
                    <w:right w:val="single" w:color="000000" w:sz="8" w:space="0"/>
                  </w:tcBorders>
                  <w:shd w:val="clear" w:color="auto" w:fill="auto"/>
                  <w:vAlign w:val="center"/>
                </w:tcPr>
                <w:p w14:paraId="1E195E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4.45</w:t>
                  </w:r>
                </w:p>
              </w:tc>
              <w:tc>
                <w:tcPr>
                  <w:tcW w:w="1498" w:type="pct"/>
                  <w:tcBorders>
                    <w:top w:val="nil"/>
                    <w:left w:val="nil"/>
                    <w:bottom w:val="single" w:color="000000" w:sz="8" w:space="0"/>
                    <w:right w:val="nil"/>
                  </w:tcBorders>
                  <w:shd w:val="clear" w:color="auto" w:fill="auto"/>
                  <w:vAlign w:val="center"/>
                </w:tcPr>
                <w:p w14:paraId="241FD6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21A27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1" w:type="pct"/>
                  <w:gridSpan w:val="3"/>
                  <w:tcBorders>
                    <w:top w:val="nil"/>
                    <w:left w:val="nil"/>
                    <w:bottom w:val="single" w:color="000000" w:sz="12" w:space="0"/>
                    <w:right w:val="single" w:color="000000" w:sz="8" w:space="0"/>
                  </w:tcBorders>
                  <w:shd w:val="clear" w:color="auto" w:fill="auto"/>
                  <w:vAlign w:val="center"/>
                </w:tcPr>
                <w:p w14:paraId="17D356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总环保费用合计</w:t>
                  </w:r>
                </w:p>
              </w:tc>
              <w:tc>
                <w:tcPr>
                  <w:tcW w:w="1257" w:type="dxa"/>
                  <w:tcBorders>
                    <w:top w:val="nil"/>
                    <w:left w:val="nil"/>
                    <w:bottom w:val="single" w:color="000000" w:sz="12" w:space="0"/>
                    <w:right w:val="single" w:color="000000" w:sz="8" w:space="0"/>
                  </w:tcBorders>
                  <w:shd w:val="clear" w:color="auto" w:fill="auto"/>
                  <w:vAlign w:val="center"/>
                </w:tcPr>
                <w:p w14:paraId="69E3E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93.45</w:t>
                  </w:r>
                </w:p>
              </w:tc>
              <w:tc>
                <w:tcPr>
                  <w:tcW w:w="1498" w:type="pct"/>
                  <w:tcBorders>
                    <w:top w:val="nil"/>
                    <w:left w:val="nil"/>
                    <w:bottom w:val="single" w:color="000000" w:sz="12" w:space="0"/>
                    <w:right w:val="nil"/>
                  </w:tcBorders>
                  <w:shd w:val="clear" w:color="auto" w:fill="auto"/>
                  <w:vAlign w:val="center"/>
                </w:tcPr>
                <w:p w14:paraId="391E72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14:paraId="3C4D5C66">
            <w:pPr>
              <w:adjustRightInd w:val="0"/>
              <w:snapToGrid w:val="0"/>
              <w:spacing w:line="480" w:lineRule="exact"/>
              <w:ind w:firstLine="0" w:firstLineChars="0"/>
              <w:rPr>
                <w:color w:val="auto"/>
                <w:highlight w:val="none"/>
              </w:rPr>
            </w:pPr>
          </w:p>
        </w:tc>
      </w:tr>
    </w:tbl>
    <w:p w14:paraId="35FEDAFC">
      <w:pPr>
        <w:ind w:firstLine="480"/>
        <w:rPr>
          <w:color w:val="auto"/>
          <w:highlight w:val="none"/>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612F4B1D">
      <w:pPr>
        <w:pStyle w:val="5"/>
        <w:snapToGrid/>
        <w:spacing w:before="0" w:after="0" w:line="360" w:lineRule="auto"/>
        <w:ind w:left="0" w:firstLine="0" w:firstLineChars="0"/>
        <w:jc w:val="center"/>
        <w:rPr>
          <w:b w:val="0"/>
          <w:bCs w:val="0"/>
          <w:color w:val="auto"/>
          <w:highlight w:val="none"/>
        </w:rPr>
      </w:pPr>
      <w:bookmarkStart w:id="15" w:name="_Toc152588073"/>
      <w:bookmarkStart w:id="16" w:name="_Toc20872"/>
      <w:r>
        <w:rPr>
          <w:rFonts w:hint="eastAsia"/>
          <w:b w:val="0"/>
          <w:bCs w:val="0"/>
          <w:color w:val="auto"/>
          <w:highlight w:val="none"/>
        </w:rPr>
        <w:t>六、生态环境保护措施监督检查清单</w:t>
      </w:r>
      <w:bookmarkEnd w:id="15"/>
      <w:bookmarkEnd w:id="16"/>
    </w:p>
    <w:tbl>
      <w:tblPr>
        <w:tblStyle w:val="1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78"/>
        <w:gridCol w:w="3118"/>
        <w:gridCol w:w="1143"/>
        <w:gridCol w:w="1977"/>
        <w:gridCol w:w="1251"/>
      </w:tblGrid>
      <w:tr w14:paraId="6E28E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Merge w:val="restart"/>
            <w:tcBorders>
              <w:tl2br w:val="single" w:color="auto" w:sz="4" w:space="0"/>
            </w:tcBorders>
          </w:tcPr>
          <w:p w14:paraId="68E9D51D">
            <w:pPr>
              <w:adjustRightInd w:val="0"/>
              <w:snapToGrid w:val="0"/>
              <w:spacing w:line="240" w:lineRule="auto"/>
              <w:ind w:firstLine="0" w:firstLineChars="0"/>
              <w:jc w:val="center"/>
              <w:rPr>
                <w:color w:val="auto"/>
                <w:sz w:val="21"/>
                <w:szCs w:val="21"/>
                <w:highlight w:val="none"/>
              </w:rPr>
            </w:pPr>
            <w:bookmarkStart w:id="17" w:name="_Toc15029"/>
            <w:r>
              <w:rPr>
                <w:color w:val="auto"/>
                <w:sz w:val="21"/>
                <w:szCs w:val="21"/>
                <w:highlight w:val="none"/>
              </w:rPr>
              <w:t xml:space="preserve">  内容</w:t>
            </w:r>
            <w:bookmarkEnd w:id="17"/>
          </w:p>
          <w:p w14:paraId="68B5D279">
            <w:pPr>
              <w:adjustRightInd w:val="0"/>
              <w:snapToGrid w:val="0"/>
              <w:spacing w:line="240" w:lineRule="auto"/>
              <w:ind w:firstLine="0" w:firstLineChars="0"/>
              <w:rPr>
                <w:color w:val="auto"/>
                <w:sz w:val="21"/>
                <w:szCs w:val="21"/>
                <w:highlight w:val="none"/>
              </w:rPr>
            </w:pPr>
            <w:bookmarkStart w:id="18" w:name="_Toc21021"/>
            <w:r>
              <w:rPr>
                <w:color w:val="auto"/>
                <w:sz w:val="21"/>
                <w:szCs w:val="21"/>
                <w:highlight w:val="none"/>
              </w:rPr>
              <w:t>要素</w:t>
            </w:r>
            <w:bookmarkEnd w:id="18"/>
          </w:p>
        </w:tc>
        <w:tc>
          <w:tcPr>
            <w:tcW w:w="2546" w:type="pct"/>
            <w:gridSpan w:val="2"/>
            <w:vAlign w:val="center"/>
          </w:tcPr>
          <w:p w14:paraId="5567456E">
            <w:pPr>
              <w:adjustRightInd w:val="0"/>
              <w:snapToGrid w:val="0"/>
              <w:spacing w:line="240" w:lineRule="auto"/>
              <w:ind w:firstLine="0" w:firstLineChars="0"/>
              <w:jc w:val="center"/>
              <w:rPr>
                <w:color w:val="auto"/>
                <w:sz w:val="21"/>
                <w:szCs w:val="21"/>
                <w:highlight w:val="none"/>
              </w:rPr>
            </w:pPr>
            <w:r>
              <w:rPr>
                <w:color w:val="auto"/>
                <w:sz w:val="21"/>
                <w:szCs w:val="21"/>
                <w:highlight w:val="none"/>
              </w:rPr>
              <w:t>施工期</w:t>
            </w:r>
          </w:p>
        </w:tc>
        <w:tc>
          <w:tcPr>
            <w:tcW w:w="1929" w:type="pct"/>
            <w:gridSpan w:val="2"/>
            <w:vAlign w:val="center"/>
          </w:tcPr>
          <w:p w14:paraId="3FB2A4B7">
            <w:pPr>
              <w:adjustRightInd w:val="0"/>
              <w:snapToGrid w:val="0"/>
              <w:spacing w:line="240" w:lineRule="auto"/>
              <w:ind w:firstLine="0" w:firstLineChars="0"/>
              <w:jc w:val="center"/>
              <w:rPr>
                <w:color w:val="auto"/>
                <w:sz w:val="21"/>
                <w:szCs w:val="21"/>
                <w:highlight w:val="none"/>
              </w:rPr>
            </w:pPr>
            <w:r>
              <w:rPr>
                <w:color w:val="auto"/>
                <w:sz w:val="21"/>
                <w:szCs w:val="21"/>
                <w:highlight w:val="none"/>
              </w:rPr>
              <w:t>运营期</w:t>
            </w:r>
          </w:p>
        </w:tc>
      </w:tr>
      <w:tr w14:paraId="2A8BF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Merge w:val="continue"/>
          </w:tcPr>
          <w:p w14:paraId="348F7C1D">
            <w:pPr>
              <w:adjustRightInd w:val="0"/>
              <w:snapToGrid w:val="0"/>
              <w:spacing w:line="240" w:lineRule="auto"/>
              <w:ind w:firstLine="0" w:firstLineChars="0"/>
              <w:jc w:val="center"/>
              <w:rPr>
                <w:color w:val="auto"/>
                <w:sz w:val="21"/>
                <w:szCs w:val="21"/>
                <w:highlight w:val="none"/>
              </w:rPr>
            </w:pPr>
          </w:p>
        </w:tc>
        <w:tc>
          <w:tcPr>
            <w:tcW w:w="1863" w:type="pct"/>
            <w:vAlign w:val="center"/>
          </w:tcPr>
          <w:p w14:paraId="3AB1858A">
            <w:pPr>
              <w:adjustRightInd w:val="0"/>
              <w:snapToGrid w:val="0"/>
              <w:spacing w:line="240" w:lineRule="auto"/>
              <w:ind w:firstLine="0" w:firstLineChars="0"/>
              <w:jc w:val="center"/>
              <w:rPr>
                <w:color w:val="auto"/>
                <w:sz w:val="21"/>
                <w:szCs w:val="21"/>
                <w:highlight w:val="none"/>
              </w:rPr>
            </w:pPr>
            <w:r>
              <w:rPr>
                <w:color w:val="auto"/>
                <w:sz w:val="21"/>
                <w:szCs w:val="21"/>
                <w:highlight w:val="none"/>
              </w:rPr>
              <w:t>环境保护措施</w:t>
            </w:r>
          </w:p>
        </w:tc>
        <w:tc>
          <w:tcPr>
            <w:tcW w:w="682" w:type="pct"/>
            <w:vAlign w:val="center"/>
          </w:tcPr>
          <w:p w14:paraId="4A3BDCB4">
            <w:pPr>
              <w:adjustRightInd w:val="0"/>
              <w:snapToGrid w:val="0"/>
              <w:spacing w:line="240" w:lineRule="auto"/>
              <w:ind w:firstLine="0" w:firstLineChars="0"/>
              <w:jc w:val="center"/>
              <w:rPr>
                <w:color w:val="auto"/>
                <w:sz w:val="21"/>
                <w:szCs w:val="21"/>
                <w:highlight w:val="none"/>
              </w:rPr>
            </w:pPr>
            <w:r>
              <w:rPr>
                <w:color w:val="auto"/>
                <w:sz w:val="21"/>
                <w:szCs w:val="21"/>
                <w:highlight w:val="none"/>
              </w:rPr>
              <w:t>验收要求</w:t>
            </w:r>
          </w:p>
        </w:tc>
        <w:tc>
          <w:tcPr>
            <w:tcW w:w="1181" w:type="pct"/>
            <w:vAlign w:val="center"/>
          </w:tcPr>
          <w:p w14:paraId="75BE70FD">
            <w:pPr>
              <w:adjustRightInd w:val="0"/>
              <w:snapToGrid w:val="0"/>
              <w:spacing w:line="240" w:lineRule="auto"/>
              <w:ind w:firstLine="0" w:firstLineChars="0"/>
              <w:jc w:val="center"/>
              <w:rPr>
                <w:color w:val="auto"/>
                <w:sz w:val="21"/>
                <w:szCs w:val="21"/>
                <w:highlight w:val="none"/>
              </w:rPr>
            </w:pPr>
            <w:r>
              <w:rPr>
                <w:color w:val="auto"/>
                <w:sz w:val="21"/>
                <w:szCs w:val="21"/>
                <w:highlight w:val="none"/>
              </w:rPr>
              <w:t>环境保护措施</w:t>
            </w:r>
          </w:p>
        </w:tc>
        <w:tc>
          <w:tcPr>
            <w:tcW w:w="747" w:type="pct"/>
            <w:vAlign w:val="center"/>
          </w:tcPr>
          <w:p w14:paraId="07281581">
            <w:pPr>
              <w:adjustRightInd w:val="0"/>
              <w:snapToGrid w:val="0"/>
              <w:spacing w:line="240" w:lineRule="auto"/>
              <w:ind w:firstLine="0" w:firstLineChars="0"/>
              <w:jc w:val="center"/>
              <w:rPr>
                <w:color w:val="auto"/>
                <w:sz w:val="21"/>
                <w:szCs w:val="21"/>
                <w:highlight w:val="none"/>
              </w:rPr>
            </w:pPr>
            <w:r>
              <w:rPr>
                <w:color w:val="auto"/>
                <w:sz w:val="21"/>
                <w:szCs w:val="21"/>
                <w:highlight w:val="none"/>
              </w:rPr>
              <w:t>验收要求</w:t>
            </w:r>
          </w:p>
        </w:tc>
      </w:tr>
      <w:tr w14:paraId="639EA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39E60B0A">
            <w:pPr>
              <w:pStyle w:val="28"/>
              <w:adjustRightInd w:val="0"/>
              <w:snapToGrid w:val="0"/>
              <w:rPr>
                <w:rFonts w:hint="default"/>
                <w:color w:val="auto"/>
                <w:sz w:val="21"/>
                <w:szCs w:val="21"/>
                <w:highlight w:val="none"/>
              </w:rPr>
            </w:pPr>
            <w:r>
              <w:rPr>
                <w:rFonts w:hint="default"/>
                <w:color w:val="auto"/>
                <w:sz w:val="21"/>
                <w:szCs w:val="21"/>
                <w:highlight w:val="none"/>
              </w:rPr>
              <w:t>陆生生态</w:t>
            </w:r>
          </w:p>
        </w:tc>
        <w:tc>
          <w:tcPr>
            <w:tcW w:w="1863" w:type="pct"/>
            <w:vAlign w:val="center"/>
          </w:tcPr>
          <w:p w14:paraId="17B10E1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按照施工组织设计，严格控制施工范围；各种机械、车辆应定期检查维护，减少跑、冒、滴、漏等环节对土壤的污染；主体完工后及时清理现场、对施工占地恢复为原地貌；做好宣传教育工作，严禁施工人员捕杀进入临时施工区的田间动物；认真落实水土保持方案提出的各项工程措施和植物措施。</w:t>
            </w:r>
          </w:p>
        </w:tc>
        <w:tc>
          <w:tcPr>
            <w:tcW w:w="682" w:type="pct"/>
            <w:vAlign w:val="center"/>
          </w:tcPr>
          <w:p w14:paraId="7AC882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恢复临时占地施工期的土地功能</w:t>
            </w:r>
          </w:p>
        </w:tc>
        <w:tc>
          <w:tcPr>
            <w:tcW w:w="1181" w:type="pct"/>
            <w:vAlign w:val="center"/>
          </w:tcPr>
          <w:p w14:paraId="756BFD9B">
            <w:pPr>
              <w:pStyle w:val="28"/>
              <w:adjustRightInd w:val="0"/>
              <w:snapToGrid w:val="0"/>
              <w:rPr>
                <w:rFonts w:hint="default"/>
                <w:color w:val="auto"/>
                <w:sz w:val="21"/>
                <w:szCs w:val="21"/>
                <w:highlight w:val="none"/>
              </w:rPr>
            </w:pPr>
            <w:r>
              <w:rPr>
                <w:rFonts w:hint="default"/>
                <w:color w:val="auto"/>
                <w:sz w:val="21"/>
                <w:szCs w:val="21"/>
                <w:highlight w:val="none"/>
              </w:rPr>
              <w:t>加强绿化工程的保养、维护</w:t>
            </w:r>
          </w:p>
        </w:tc>
        <w:tc>
          <w:tcPr>
            <w:tcW w:w="747" w:type="pct"/>
            <w:vAlign w:val="center"/>
          </w:tcPr>
          <w:p w14:paraId="29FA8A90">
            <w:pPr>
              <w:pStyle w:val="28"/>
              <w:adjustRightInd w:val="0"/>
              <w:snapToGrid w:val="0"/>
              <w:rPr>
                <w:rFonts w:hint="default"/>
                <w:color w:val="auto"/>
                <w:sz w:val="21"/>
                <w:szCs w:val="21"/>
                <w:highlight w:val="none"/>
              </w:rPr>
            </w:pPr>
            <w:r>
              <w:rPr>
                <w:rFonts w:hint="default"/>
                <w:color w:val="auto"/>
                <w:sz w:val="21"/>
                <w:szCs w:val="21"/>
                <w:highlight w:val="none"/>
              </w:rPr>
              <w:t>植被生长良好、未遭破坏</w:t>
            </w:r>
          </w:p>
        </w:tc>
      </w:tr>
      <w:tr w14:paraId="4DB65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06E522DF">
            <w:pPr>
              <w:pStyle w:val="28"/>
              <w:adjustRightInd w:val="0"/>
              <w:snapToGrid w:val="0"/>
              <w:rPr>
                <w:rFonts w:hint="default"/>
                <w:color w:val="auto"/>
                <w:sz w:val="21"/>
                <w:szCs w:val="21"/>
                <w:highlight w:val="none"/>
              </w:rPr>
            </w:pPr>
            <w:r>
              <w:rPr>
                <w:rFonts w:hint="default"/>
                <w:color w:val="auto"/>
                <w:sz w:val="21"/>
                <w:szCs w:val="21"/>
                <w:highlight w:val="none"/>
              </w:rPr>
              <w:t>地表水环境</w:t>
            </w:r>
          </w:p>
        </w:tc>
        <w:tc>
          <w:tcPr>
            <w:tcW w:w="1863" w:type="pct"/>
            <w:vAlign w:val="center"/>
          </w:tcPr>
          <w:p w14:paraId="0DF0669E">
            <w:pPr>
              <w:pStyle w:val="28"/>
              <w:adjustRightInd w:val="0"/>
              <w:snapToGrid w:val="0"/>
              <w:rPr>
                <w:rFonts w:hint="default"/>
                <w:color w:val="auto"/>
                <w:sz w:val="21"/>
                <w:szCs w:val="21"/>
                <w:highlight w:val="none"/>
              </w:rPr>
            </w:pPr>
            <w:r>
              <w:rPr>
                <w:color w:val="auto"/>
                <w:sz w:val="21"/>
                <w:szCs w:val="21"/>
                <w:highlight w:val="none"/>
              </w:rPr>
              <w:t>生活污水经民宅防渗旱厕后</w:t>
            </w:r>
            <w:r>
              <w:rPr>
                <w:rFonts w:hint="eastAsia"/>
                <w:color w:val="auto"/>
                <w:sz w:val="21"/>
                <w:szCs w:val="21"/>
                <w:highlight w:val="none"/>
                <w:lang w:eastAsia="zh-CN"/>
              </w:rPr>
              <w:t>定期清掏外运堆肥处理</w:t>
            </w:r>
            <w:r>
              <w:rPr>
                <w:color w:val="auto"/>
                <w:sz w:val="21"/>
                <w:szCs w:val="21"/>
                <w:highlight w:val="none"/>
              </w:rPr>
              <w:t>；施工废水经沉淀池处理回用洒水抑尘；</w:t>
            </w:r>
          </w:p>
        </w:tc>
        <w:tc>
          <w:tcPr>
            <w:tcW w:w="682" w:type="pct"/>
            <w:vAlign w:val="center"/>
          </w:tcPr>
          <w:p w14:paraId="1B07B984">
            <w:pPr>
              <w:pStyle w:val="28"/>
              <w:adjustRightInd w:val="0"/>
              <w:snapToGrid w:val="0"/>
              <w:rPr>
                <w:rFonts w:hint="default"/>
                <w:color w:val="auto"/>
                <w:sz w:val="21"/>
                <w:szCs w:val="21"/>
                <w:highlight w:val="none"/>
              </w:rPr>
            </w:pPr>
            <w:r>
              <w:rPr>
                <w:rFonts w:hint="default"/>
                <w:color w:val="auto"/>
                <w:sz w:val="21"/>
                <w:szCs w:val="21"/>
                <w:highlight w:val="none"/>
              </w:rPr>
              <w:t>废水不外排</w:t>
            </w:r>
          </w:p>
        </w:tc>
        <w:tc>
          <w:tcPr>
            <w:tcW w:w="1181" w:type="pct"/>
            <w:vAlign w:val="center"/>
          </w:tcPr>
          <w:p w14:paraId="75120DD2">
            <w:pPr>
              <w:pStyle w:val="28"/>
              <w:adjustRightInd w:val="0"/>
              <w:snapToGrid w:val="0"/>
              <w:rPr>
                <w:rFonts w:hint="default"/>
                <w:color w:val="auto"/>
                <w:sz w:val="21"/>
                <w:szCs w:val="21"/>
                <w:highlight w:val="none"/>
              </w:rPr>
            </w:pPr>
            <w:r>
              <w:rPr>
                <w:rFonts w:hint="default"/>
                <w:color w:val="auto"/>
                <w:sz w:val="21"/>
                <w:szCs w:val="21"/>
                <w:highlight w:val="none"/>
              </w:rPr>
              <w:t>完善路面径流收集和排水系统</w:t>
            </w:r>
          </w:p>
        </w:tc>
        <w:tc>
          <w:tcPr>
            <w:tcW w:w="747" w:type="pct"/>
            <w:vAlign w:val="center"/>
          </w:tcPr>
          <w:p w14:paraId="761EB667">
            <w:pPr>
              <w:pStyle w:val="28"/>
              <w:adjustRightInd w:val="0"/>
              <w:snapToGrid w:val="0"/>
              <w:rPr>
                <w:rFonts w:hint="eastAsia" w:eastAsia="宋体"/>
                <w:color w:val="auto"/>
                <w:sz w:val="21"/>
                <w:szCs w:val="21"/>
                <w:highlight w:val="none"/>
                <w:lang w:eastAsia="zh-CN"/>
              </w:rPr>
            </w:pPr>
            <w:r>
              <w:rPr>
                <w:rFonts w:hint="eastAsia"/>
                <w:color w:val="auto"/>
                <w:sz w:val="21"/>
                <w:szCs w:val="21"/>
                <w:highlight w:val="none"/>
                <w:lang w:val="en-US" w:eastAsia="zh-CN"/>
              </w:rPr>
              <w:t>/</w:t>
            </w:r>
          </w:p>
        </w:tc>
      </w:tr>
      <w:tr w14:paraId="50A4CA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7E43EED8">
            <w:pPr>
              <w:pStyle w:val="28"/>
              <w:adjustRightInd w:val="0"/>
              <w:snapToGrid w:val="0"/>
              <w:rPr>
                <w:rFonts w:hint="default"/>
                <w:color w:val="auto"/>
                <w:sz w:val="21"/>
                <w:szCs w:val="21"/>
                <w:highlight w:val="none"/>
              </w:rPr>
            </w:pPr>
            <w:r>
              <w:rPr>
                <w:rFonts w:hint="default"/>
                <w:color w:val="auto"/>
                <w:sz w:val="21"/>
                <w:szCs w:val="21"/>
                <w:highlight w:val="none"/>
              </w:rPr>
              <w:t>地下水及土壤环境</w:t>
            </w:r>
          </w:p>
        </w:tc>
        <w:tc>
          <w:tcPr>
            <w:tcW w:w="1863" w:type="pct"/>
            <w:vAlign w:val="center"/>
          </w:tcPr>
          <w:p w14:paraId="490FDCF7">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682" w:type="pct"/>
            <w:vAlign w:val="center"/>
          </w:tcPr>
          <w:p w14:paraId="5CEC468C">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1181" w:type="pct"/>
            <w:vAlign w:val="center"/>
          </w:tcPr>
          <w:p w14:paraId="169D7624">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747" w:type="pct"/>
            <w:vAlign w:val="center"/>
          </w:tcPr>
          <w:p w14:paraId="5A010C8E">
            <w:pPr>
              <w:pStyle w:val="28"/>
              <w:adjustRightInd w:val="0"/>
              <w:snapToGrid w:val="0"/>
              <w:rPr>
                <w:rFonts w:hint="default"/>
                <w:color w:val="auto"/>
                <w:sz w:val="21"/>
                <w:szCs w:val="21"/>
                <w:highlight w:val="none"/>
              </w:rPr>
            </w:pPr>
            <w:r>
              <w:rPr>
                <w:rFonts w:hint="default"/>
                <w:color w:val="auto"/>
                <w:sz w:val="21"/>
                <w:szCs w:val="21"/>
                <w:highlight w:val="none"/>
              </w:rPr>
              <w:t>/</w:t>
            </w:r>
          </w:p>
        </w:tc>
      </w:tr>
      <w:tr w14:paraId="51F83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393D3FFE">
            <w:pPr>
              <w:pStyle w:val="28"/>
              <w:adjustRightInd w:val="0"/>
              <w:snapToGrid w:val="0"/>
              <w:rPr>
                <w:rFonts w:hint="default"/>
                <w:color w:val="auto"/>
                <w:sz w:val="21"/>
                <w:szCs w:val="21"/>
                <w:highlight w:val="none"/>
              </w:rPr>
            </w:pPr>
            <w:r>
              <w:rPr>
                <w:rFonts w:hint="default"/>
                <w:color w:val="auto"/>
                <w:sz w:val="21"/>
                <w:szCs w:val="21"/>
                <w:highlight w:val="none"/>
              </w:rPr>
              <w:t>声环境</w:t>
            </w:r>
          </w:p>
        </w:tc>
        <w:tc>
          <w:tcPr>
            <w:tcW w:w="1863" w:type="pct"/>
            <w:vAlign w:val="center"/>
          </w:tcPr>
          <w:p w14:paraId="38450083">
            <w:pPr>
              <w:pStyle w:val="28"/>
              <w:adjustRightInd w:val="0"/>
              <w:snapToGrid w:val="0"/>
              <w:rPr>
                <w:rFonts w:hint="default"/>
                <w:color w:val="auto"/>
                <w:sz w:val="21"/>
                <w:szCs w:val="21"/>
                <w:highlight w:val="none"/>
              </w:rPr>
            </w:pPr>
            <w:r>
              <w:rPr>
                <w:color w:val="auto"/>
                <w:sz w:val="21"/>
                <w:szCs w:val="21"/>
                <w:highlight w:val="none"/>
              </w:rPr>
              <w:t>低噪声机械设备，隔声隔尘档板及隔声、消声、减振等措施；合理布局现场，合理安排施工时间，严禁夜间（22:00-6:00）施工作业；合理安排运输路线；</w:t>
            </w:r>
          </w:p>
        </w:tc>
        <w:tc>
          <w:tcPr>
            <w:tcW w:w="682" w:type="pct"/>
            <w:vAlign w:val="center"/>
          </w:tcPr>
          <w:p w14:paraId="3685DD27">
            <w:pPr>
              <w:pStyle w:val="28"/>
              <w:adjustRightInd w:val="0"/>
              <w:snapToGrid w:val="0"/>
              <w:rPr>
                <w:rFonts w:hint="default"/>
                <w:color w:val="auto"/>
                <w:sz w:val="21"/>
                <w:szCs w:val="21"/>
                <w:highlight w:val="none"/>
              </w:rPr>
            </w:pPr>
            <w:r>
              <w:rPr>
                <w:rFonts w:hint="default"/>
                <w:color w:val="auto"/>
                <w:sz w:val="21"/>
                <w:szCs w:val="21"/>
                <w:highlight w:val="none"/>
              </w:rPr>
              <w:t>满足《建筑施工场界环境噪声排放标准》（GB 12523-2011）</w:t>
            </w:r>
            <w:r>
              <w:rPr>
                <w:color w:val="auto"/>
                <w:sz w:val="21"/>
                <w:szCs w:val="21"/>
                <w:highlight w:val="none"/>
              </w:rPr>
              <w:t>、《声环境质量标准》（GB 3096-2008）中</w:t>
            </w:r>
            <w:r>
              <w:rPr>
                <w:rFonts w:hint="default"/>
                <w:color w:val="auto"/>
                <w:sz w:val="21"/>
                <w:szCs w:val="21"/>
                <w:highlight w:val="none"/>
              </w:rPr>
              <w:t>2</w:t>
            </w:r>
            <w:r>
              <w:rPr>
                <w:color w:val="auto"/>
                <w:sz w:val="21"/>
                <w:szCs w:val="21"/>
                <w:highlight w:val="none"/>
              </w:rPr>
              <w:t>类标准</w:t>
            </w:r>
          </w:p>
        </w:tc>
        <w:tc>
          <w:tcPr>
            <w:tcW w:w="1181" w:type="pct"/>
            <w:vAlign w:val="center"/>
          </w:tcPr>
          <w:p w14:paraId="2BC345B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lang w:eastAsia="zh-CN"/>
              </w:rPr>
              <w:t>禁止鸣笛、严格控制车速，禁止超速行驶，加强管理，及时对受损路面维修和修复。</w:t>
            </w:r>
          </w:p>
        </w:tc>
        <w:tc>
          <w:tcPr>
            <w:tcW w:w="747" w:type="pct"/>
            <w:vAlign w:val="center"/>
          </w:tcPr>
          <w:p w14:paraId="490C157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声环境保护目标满足《声环境质量标准》（GB 3096 - 2008）中</w:t>
            </w:r>
            <w:r>
              <w:rPr>
                <w:rFonts w:hint="eastAsia" w:cs="Times New Roman"/>
                <w:color w:val="auto"/>
                <w:sz w:val="21"/>
                <w:szCs w:val="21"/>
                <w:highlight w:val="none"/>
                <w:lang w:val="en-US" w:eastAsia="zh-CN"/>
              </w:rPr>
              <w:t>2类</w:t>
            </w:r>
          </w:p>
        </w:tc>
      </w:tr>
      <w:tr w14:paraId="2F07C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7BBB99E4">
            <w:pPr>
              <w:pStyle w:val="28"/>
              <w:adjustRightInd w:val="0"/>
              <w:snapToGrid w:val="0"/>
              <w:rPr>
                <w:rFonts w:hint="default"/>
                <w:color w:val="auto"/>
                <w:sz w:val="21"/>
                <w:szCs w:val="21"/>
                <w:highlight w:val="none"/>
              </w:rPr>
            </w:pPr>
            <w:r>
              <w:rPr>
                <w:rFonts w:hint="default"/>
                <w:color w:val="auto"/>
                <w:sz w:val="21"/>
                <w:szCs w:val="21"/>
                <w:highlight w:val="none"/>
              </w:rPr>
              <w:t>振动</w:t>
            </w:r>
          </w:p>
        </w:tc>
        <w:tc>
          <w:tcPr>
            <w:tcW w:w="1863" w:type="pct"/>
            <w:vAlign w:val="center"/>
          </w:tcPr>
          <w:p w14:paraId="4F9E5541">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682" w:type="pct"/>
            <w:vAlign w:val="center"/>
          </w:tcPr>
          <w:p w14:paraId="333B9737">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1181" w:type="pct"/>
            <w:vAlign w:val="center"/>
          </w:tcPr>
          <w:p w14:paraId="501F083B">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747" w:type="pct"/>
            <w:vAlign w:val="center"/>
          </w:tcPr>
          <w:p w14:paraId="0C81652A">
            <w:pPr>
              <w:pStyle w:val="28"/>
              <w:adjustRightInd w:val="0"/>
              <w:snapToGrid w:val="0"/>
              <w:rPr>
                <w:rFonts w:hint="default"/>
                <w:color w:val="auto"/>
                <w:sz w:val="21"/>
                <w:szCs w:val="21"/>
                <w:highlight w:val="none"/>
              </w:rPr>
            </w:pPr>
            <w:r>
              <w:rPr>
                <w:rFonts w:hint="default"/>
                <w:color w:val="auto"/>
                <w:sz w:val="21"/>
                <w:szCs w:val="21"/>
                <w:highlight w:val="none"/>
              </w:rPr>
              <w:t>/</w:t>
            </w:r>
          </w:p>
        </w:tc>
      </w:tr>
      <w:tr w14:paraId="2CF52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2F1CE0DD">
            <w:pPr>
              <w:pStyle w:val="28"/>
              <w:adjustRightInd w:val="0"/>
              <w:snapToGrid w:val="0"/>
              <w:rPr>
                <w:rFonts w:hint="default"/>
                <w:color w:val="auto"/>
                <w:sz w:val="21"/>
                <w:szCs w:val="21"/>
                <w:highlight w:val="none"/>
              </w:rPr>
            </w:pPr>
            <w:r>
              <w:rPr>
                <w:rFonts w:hint="default"/>
                <w:color w:val="auto"/>
                <w:sz w:val="21"/>
                <w:szCs w:val="21"/>
                <w:highlight w:val="none"/>
              </w:rPr>
              <w:t>大气环境</w:t>
            </w:r>
          </w:p>
        </w:tc>
        <w:tc>
          <w:tcPr>
            <w:tcW w:w="1863" w:type="pct"/>
            <w:vAlign w:val="center"/>
          </w:tcPr>
          <w:p w14:paraId="0622D72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bCs/>
                <w:color w:val="auto"/>
                <w:sz w:val="21"/>
                <w:szCs w:val="21"/>
                <w:highlight w:val="none"/>
              </w:rPr>
              <w:t>施工避开大风季节，施工中产生的物料堆应当采取遮盖、洒水等措施防止扬尘产生。</w:t>
            </w:r>
          </w:p>
          <w:p w14:paraId="3C6C6D5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bCs/>
                <w:color w:val="auto"/>
                <w:sz w:val="21"/>
                <w:szCs w:val="21"/>
                <w:highlight w:val="none"/>
              </w:rPr>
              <w:t>对施工场地、运输道路表面采取硬化措施，或采取洒水等方法处理。</w:t>
            </w:r>
          </w:p>
          <w:p w14:paraId="7E34F0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bCs/>
                <w:color w:val="auto"/>
                <w:sz w:val="21"/>
                <w:szCs w:val="21"/>
                <w:highlight w:val="none"/>
              </w:rPr>
              <w:t>施工产生的建筑垃圾、渣土应当及时清运或采取其他有效防尘措施。</w:t>
            </w:r>
          </w:p>
          <w:p w14:paraId="18A1C8B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④运输建筑垃圾、渣土等易产生扬尘的施工车辆，应加盖斗篷，密封运送；材料运输严禁超载，并盖篷布。</w:t>
            </w:r>
          </w:p>
          <w:p w14:paraId="53AF94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highlight w:val="none"/>
              </w:rPr>
            </w:pPr>
            <w:r>
              <w:rPr>
                <w:rFonts w:hint="default" w:ascii="Times New Roman" w:hAnsi="Times New Roman" w:eastAsia="宋体" w:cs="Times New Roman"/>
                <w:bCs/>
                <w:color w:val="auto"/>
                <w:sz w:val="21"/>
                <w:szCs w:val="21"/>
                <w:highlight w:val="none"/>
              </w:rPr>
              <w:t>⑤</w:t>
            </w:r>
            <w:r>
              <w:rPr>
                <w:rFonts w:hint="default" w:ascii="Times New Roman" w:hAnsi="Times New Roman" w:eastAsia="宋体" w:cs="Times New Roman"/>
                <w:color w:val="auto"/>
                <w:sz w:val="21"/>
                <w:szCs w:val="21"/>
                <w:highlight w:val="none"/>
              </w:rPr>
              <w:t>加强施工期环境管理，强化施工人员的环保意识。开展施工期扬尘监测</w:t>
            </w:r>
            <w:r>
              <w:rPr>
                <w:rFonts w:hint="default" w:ascii="Times New Roman" w:hAnsi="Times New Roman" w:eastAsia="宋体" w:cs="Times New Roman"/>
                <w:bCs/>
                <w:color w:val="auto"/>
                <w:sz w:val="21"/>
                <w:szCs w:val="21"/>
                <w:highlight w:val="none"/>
              </w:rPr>
              <w:t>。</w:t>
            </w:r>
          </w:p>
        </w:tc>
        <w:tc>
          <w:tcPr>
            <w:tcW w:w="682" w:type="pct"/>
            <w:vAlign w:val="center"/>
          </w:tcPr>
          <w:p w14:paraId="25458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rPr>
            </w:pPr>
            <w:r>
              <w:rPr>
                <w:rFonts w:hint="default" w:ascii="Times New Roman" w:hAnsi="Times New Roman" w:eastAsia="宋体" w:cs="Times New Roman"/>
                <w:bCs/>
                <w:color w:val="auto"/>
                <w:sz w:val="21"/>
                <w:szCs w:val="21"/>
                <w:highlight w:val="none"/>
              </w:rPr>
              <w:t>施工场界处扬尘满足《大气污染物综合排放标准》规定的颗粒物无组织排放监控浓度1.0mg/m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要求</w:t>
            </w:r>
          </w:p>
        </w:tc>
        <w:tc>
          <w:tcPr>
            <w:tcW w:w="1181" w:type="pct"/>
            <w:vAlign w:val="center"/>
          </w:tcPr>
          <w:p w14:paraId="69CAB78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①加强公路管理及路面养护，加强交通运输车辆管理，禁止尾气严重超标车辆上路行驶。</w:t>
            </w:r>
          </w:p>
          <w:p w14:paraId="1810A32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②公路两侧种植适宜当地生长的林草，增加沿线植被覆盖率</w:t>
            </w:r>
            <w:r>
              <w:rPr>
                <w:rFonts w:hint="default" w:ascii="Times New Roman" w:hAnsi="Times New Roman" w:eastAsia="宋体" w:cs="Times New Roman"/>
                <w:color w:val="auto"/>
                <w:sz w:val="21"/>
                <w:szCs w:val="21"/>
                <w:highlight w:val="none"/>
                <w:lang w:eastAsia="zh-CN"/>
              </w:rPr>
              <w:t>。</w:t>
            </w:r>
          </w:p>
          <w:p w14:paraId="21724E5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highlight w:val="none"/>
              </w:rPr>
            </w:pPr>
          </w:p>
        </w:tc>
        <w:tc>
          <w:tcPr>
            <w:tcW w:w="747" w:type="pct"/>
            <w:vAlign w:val="center"/>
          </w:tcPr>
          <w:p w14:paraId="774E9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环境空气质量执行《环境空气质量标准》及其修改单二级标准</w:t>
            </w:r>
            <w:r>
              <w:rPr>
                <w:rFonts w:hint="default" w:ascii="Times New Roman" w:hAnsi="Times New Roman" w:eastAsia="宋体" w:cs="Times New Roman"/>
                <w:color w:val="auto"/>
                <w:sz w:val="21"/>
                <w:szCs w:val="21"/>
                <w:highlight w:val="none"/>
                <w:lang w:eastAsia="zh-CN"/>
              </w:rPr>
              <w:t>。</w:t>
            </w:r>
          </w:p>
        </w:tc>
      </w:tr>
      <w:tr w14:paraId="02D36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2BFC0641">
            <w:pPr>
              <w:pStyle w:val="28"/>
              <w:adjustRightInd w:val="0"/>
              <w:snapToGrid w:val="0"/>
              <w:rPr>
                <w:rFonts w:hint="default"/>
                <w:color w:val="auto"/>
                <w:sz w:val="21"/>
                <w:szCs w:val="21"/>
                <w:highlight w:val="none"/>
              </w:rPr>
            </w:pPr>
            <w:r>
              <w:rPr>
                <w:rFonts w:hint="default"/>
                <w:color w:val="auto"/>
                <w:sz w:val="21"/>
                <w:szCs w:val="21"/>
                <w:highlight w:val="none"/>
              </w:rPr>
              <w:t>固体废物</w:t>
            </w:r>
          </w:p>
        </w:tc>
        <w:tc>
          <w:tcPr>
            <w:tcW w:w="1863" w:type="pct"/>
            <w:vAlign w:val="center"/>
          </w:tcPr>
          <w:p w14:paraId="4DBD140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①生活垃圾集中收集后，运至市政指定地点由市政统一处理。</w:t>
            </w:r>
          </w:p>
          <w:p w14:paraId="59612F52">
            <w:pPr>
              <w:pStyle w:val="28"/>
              <w:adjustRightInd w:val="0"/>
              <w:snapToGrid w:val="0"/>
              <w:rPr>
                <w:rFonts w:hint="default"/>
                <w:color w:val="auto"/>
                <w:sz w:val="21"/>
                <w:szCs w:val="21"/>
                <w:highlight w:val="none"/>
              </w:rPr>
            </w:pPr>
            <w:r>
              <w:rPr>
                <w:rFonts w:hint="default" w:ascii="Times New Roman" w:hAnsi="Times New Roman" w:eastAsia="宋体" w:cs="Times New Roman"/>
                <w:color w:val="auto"/>
                <w:sz w:val="21"/>
                <w:szCs w:val="21"/>
                <w:highlight w:val="none"/>
              </w:rPr>
              <w:t>②优先对弃土和原有建筑材料进行再生利用，弃土用于回填路基、临时便道、交叉等填筑，基层面层破碎后回用于基层填料，空心板用于堆砌挡墙等，钢材、支座等可回收材料进行资源回收，剩余不可利用弃土、弃渣等运至弃土场，严禁随意丢弃。</w:t>
            </w:r>
          </w:p>
        </w:tc>
        <w:tc>
          <w:tcPr>
            <w:tcW w:w="682" w:type="pct"/>
            <w:vAlign w:val="center"/>
          </w:tcPr>
          <w:p w14:paraId="772DB225">
            <w:pPr>
              <w:pStyle w:val="28"/>
              <w:adjustRightInd w:val="0"/>
              <w:snapToGrid w:val="0"/>
              <w:rPr>
                <w:rFonts w:hint="default"/>
                <w:color w:val="auto"/>
                <w:sz w:val="21"/>
                <w:szCs w:val="21"/>
                <w:highlight w:val="none"/>
              </w:rPr>
            </w:pPr>
            <w:r>
              <w:rPr>
                <w:rFonts w:hint="default"/>
                <w:color w:val="auto"/>
                <w:sz w:val="21"/>
                <w:szCs w:val="21"/>
                <w:highlight w:val="none"/>
              </w:rPr>
              <w:t>固体废物得到妥善处理</w:t>
            </w:r>
          </w:p>
        </w:tc>
        <w:tc>
          <w:tcPr>
            <w:tcW w:w="1181" w:type="pct"/>
            <w:vAlign w:val="center"/>
          </w:tcPr>
          <w:p w14:paraId="4E1A9917">
            <w:pPr>
              <w:pStyle w:val="28"/>
              <w:adjustRightInd w:val="0"/>
              <w:snapToGrid w:val="0"/>
              <w:rPr>
                <w:rFonts w:hint="eastAsia" w:eastAsia="宋体"/>
                <w:color w:val="auto"/>
                <w:sz w:val="21"/>
                <w:szCs w:val="21"/>
                <w:highlight w:val="none"/>
                <w:lang w:eastAsia="zh-CN"/>
              </w:rPr>
            </w:pPr>
            <w:r>
              <w:rPr>
                <w:rFonts w:hint="eastAsia"/>
                <w:color w:val="auto"/>
                <w:sz w:val="21"/>
                <w:szCs w:val="21"/>
                <w:highlight w:val="none"/>
                <w:lang w:val="en-US" w:eastAsia="zh-CN"/>
              </w:rPr>
              <w:t>/</w:t>
            </w:r>
          </w:p>
        </w:tc>
        <w:tc>
          <w:tcPr>
            <w:tcW w:w="747" w:type="pct"/>
            <w:vAlign w:val="center"/>
          </w:tcPr>
          <w:p w14:paraId="0AB0C41A">
            <w:pPr>
              <w:pStyle w:val="28"/>
              <w:adjustRightInd w:val="0"/>
              <w:snapToGrid w:val="0"/>
              <w:rPr>
                <w:rFonts w:hint="eastAsia" w:eastAsia="宋体"/>
                <w:color w:val="auto"/>
                <w:sz w:val="21"/>
                <w:szCs w:val="21"/>
                <w:highlight w:val="none"/>
                <w:lang w:eastAsia="zh-CN"/>
              </w:rPr>
            </w:pPr>
            <w:r>
              <w:rPr>
                <w:rFonts w:hint="eastAsia"/>
                <w:color w:val="auto"/>
                <w:sz w:val="21"/>
                <w:szCs w:val="21"/>
                <w:highlight w:val="none"/>
                <w:lang w:val="en-US" w:eastAsia="zh-CN"/>
              </w:rPr>
              <w:t>/</w:t>
            </w:r>
          </w:p>
        </w:tc>
      </w:tr>
      <w:tr w14:paraId="46C92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7E097439">
            <w:pPr>
              <w:pStyle w:val="28"/>
              <w:adjustRightInd w:val="0"/>
              <w:snapToGrid w:val="0"/>
              <w:rPr>
                <w:rFonts w:hint="default"/>
                <w:color w:val="auto"/>
                <w:sz w:val="21"/>
                <w:szCs w:val="21"/>
                <w:highlight w:val="none"/>
              </w:rPr>
            </w:pPr>
            <w:r>
              <w:rPr>
                <w:rFonts w:hint="default"/>
                <w:color w:val="auto"/>
                <w:sz w:val="21"/>
                <w:szCs w:val="21"/>
                <w:highlight w:val="none"/>
              </w:rPr>
              <w:t>电磁环境</w:t>
            </w:r>
          </w:p>
        </w:tc>
        <w:tc>
          <w:tcPr>
            <w:tcW w:w="1863" w:type="pct"/>
            <w:vAlign w:val="center"/>
          </w:tcPr>
          <w:p w14:paraId="29A133F8">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682" w:type="pct"/>
            <w:vAlign w:val="center"/>
          </w:tcPr>
          <w:p w14:paraId="52910653">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1181" w:type="pct"/>
            <w:vAlign w:val="center"/>
          </w:tcPr>
          <w:p w14:paraId="57F91AD7">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747" w:type="pct"/>
            <w:vAlign w:val="center"/>
          </w:tcPr>
          <w:p w14:paraId="0622DC95">
            <w:pPr>
              <w:pStyle w:val="28"/>
              <w:adjustRightInd w:val="0"/>
              <w:snapToGrid w:val="0"/>
              <w:rPr>
                <w:rFonts w:hint="default"/>
                <w:color w:val="auto"/>
                <w:sz w:val="21"/>
                <w:szCs w:val="21"/>
                <w:highlight w:val="none"/>
              </w:rPr>
            </w:pPr>
            <w:r>
              <w:rPr>
                <w:rFonts w:hint="default"/>
                <w:color w:val="auto"/>
                <w:sz w:val="21"/>
                <w:szCs w:val="21"/>
                <w:highlight w:val="none"/>
              </w:rPr>
              <w:t>/</w:t>
            </w:r>
          </w:p>
        </w:tc>
      </w:tr>
      <w:tr w14:paraId="3C2B1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4D3E241F">
            <w:pPr>
              <w:pStyle w:val="28"/>
              <w:adjustRightInd w:val="0"/>
              <w:snapToGrid w:val="0"/>
              <w:rPr>
                <w:rFonts w:hint="default"/>
                <w:color w:val="auto"/>
                <w:sz w:val="21"/>
                <w:szCs w:val="21"/>
                <w:highlight w:val="none"/>
              </w:rPr>
            </w:pPr>
            <w:r>
              <w:rPr>
                <w:rFonts w:hint="default"/>
                <w:color w:val="auto"/>
                <w:sz w:val="21"/>
                <w:szCs w:val="21"/>
                <w:highlight w:val="none"/>
              </w:rPr>
              <w:t>环境风险</w:t>
            </w:r>
          </w:p>
        </w:tc>
        <w:tc>
          <w:tcPr>
            <w:tcW w:w="1863" w:type="pct"/>
            <w:vAlign w:val="center"/>
          </w:tcPr>
          <w:p w14:paraId="76822DC5">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682" w:type="pct"/>
            <w:vAlign w:val="center"/>
          </w:tcPr>
          <w:p w14:paraId="7DF9FC68">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1181" w:type="pct"/>
            <w:vAlign w:val="center"/>
          </w:tcPr>
          <w:p w14:paraId="09AAF395">
            <w:pPr>
              <w:pStyle w:val="28"/>
              <w:adjustRightInd w:val="0"/>
              <w:snapToGrid w:val="0"/>
              <w:rPr>
                <w:rFonts w:hint="default"/>
                <w:color w:val="auto"/>
                <w:sz w:val="21"/>
                <w:szCs w:val="21"/>
                <w:highlight w:val="none"/>
              </w:rPr>
            </w:pPr>
            <w:r>
              <w:rPr>
                <w:rFonts w:hint="eastAsia"/>
                <w:color w:val="auto"/>
                <w:sz w:val="21"/>
                <w:szCs w:val="21"/>
                <w:highlight w:val="none"/>
              </w:rPr>
              <w:t>设计交通标志、交通标线等项目，防范交通事故隐患点发生事故</w:t>
            </w:r>
          </w:p>
        </w:tc>
        <w:tc>
          <w:tcPr>
            <w:tcW w:w="747" w:type="pct"/>
            <w:vAlign w:val="center"/>
          </w:tcPr>
          <w:p w14:paraId="24C9C696">
            <w:pPr>
              <w:pStyle w:val="28"/>
              <w:adjustRightInd w:val="0"/>
              <w:snapToGrid w:val="0"/>
              <w:rPr>
                <w:rFonts w:hint="default"/>
                <w:color w:val="auto"/>
                <w:sz w:val="21"/>
                <w:szCs w:val="21"/>
                <w:highlight w:val="none"/>
              </w:rPr>
            </w:pPr>
            <w:r>
              <w:rPr>
                <w:rFonts w:hint="default"/>
                <w:color w:val="auto"/>
                <w:sz w:val="21"/>
                <w:szCs w:val="21"/>
                <w:highlight w:val="none"/>
              </w:rPr>
              <w:t>确保环境风险最小化</w:t>
            </w:r>
          </w:p>
        </w:tc>
      </w:tr>
      <w:tr w14:paraId="42231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069A3208">
            <w:pPr>
              <w:pStyle w:val="28"/>
              <w:adjustRightInd w:val="0"/>
              <w:snapToGrid w:val="0"/>
              <w:rPr>
                <w:rFonts w:hint="default"/>
                <w:color w:val="auto"/>
                <w:sz w:val="21"/>
                <w:szCs w:val="21"/>
                <w:highlight w:val="none"/>
              </w:rPr>
            </w:pPr>
            <w:r>
              <w:rPr>
                <w:rFonts w:hint="default"/>
                <w:color w:val="auto"/>
                <w:sz w:val="21"/>
                <w:szCs w:val="21"/>
                <w:highlight w:val="none"/>
              </w:rPr>
              <w:t>环境监测</w:t>
            </w:r>
          </w:p>
        </w:tc>
        <w:tc>
          <w:tcPr>
            <w:tcW w:w="1863" w:type="pct"/>
            <w:vAlign w:val="center"/>
          </w:tcPr>
          <w:p w14:paraId="07F90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rPr>
            </w:pPr>
            <w:r>
              <w:rPr>
                <w:rFonts w:hint="eastAsia" w:ascii="Times New Roman" w:hAnsi="Times New Roman" w:eastAsia="宋体" w:cs="Times New Roman"/>
                <w:color w:val="auto"/>
                <w:sz w:val="21"/>
                <w:szCs w:val="21"/>
                <w:highlight w:val="none"/>
              </w:rPr>
              <w:t>设置环境监理，重点对环境空气、生态环境进行监管，并制定监测计划。</w:t>
            </w:r>
          </w:p>
        </w:tc>
        <w:tc>
          <w:tcPr>
            <w:tcW w:w="682" w:type="pct"/>
            <w:vAlign w:val="center"/>
          </w:tcPr>
          <w:p w14:paraId="46AB9B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rPr>
            </w:pPr>
            <w:r>
              <w:rPr>
                <w:rFonts w:hint="eastAsia" w:ascii="Times New Roman" w:hAnsi="Times New Roman" w:eastAsia="宋体" w:cs="Times New Roman"/>
                <w:color w:val="auto"/>
                <w:sz w:val="21"/>
                <w:szCs w:val="21"/>
                <w:highlight w:val="none"/>
              </w:rPr>
              <w:t>按照国家有关环保法规和工程的环保规定，统一管理施工区环境保护工作，并委托第三方定期进行监测。</w:t>
            </w:r>
          </w:p>
        </w:tc>
        <w:tc>
          <w:tcPr>
            <w:tcW w:w="1181" w:type="pct"/>
            <w:vAlign w:val="center"/>
          </w:tcPr>
          <w:p w14:paraId="4376D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rPr>
            </w:pPr>
            <w:r>
              <w:rPr>
                <w:rFonts w:hint="eastAsia" w:ascii="Times New Roman" w:hAnsi="Times New Roman" w:eastAsia="宋体" w:cs="Times New Roman"/>
                <w:color w:val="auto"/>
                <w:sz w:val="21"/>
                <w:szCs w:val="21"/>
                <w:highlight w:val="none"/>
              </w:rPr>
              <w:t>建设单位应加强日常环境监测制度的落实，在条件允许的情况下，应定期进行废气、噪声进行监测，反映拟建项目周围环境质量，保障其周围公众健康，为环境管理提供科学依据。</w:t>
            </w:r>
          </w:p>
        </w:tc>
        <w:tc>
          <w:tcPr>
            <w:tcW w:w="747" w:type="pct"/>
            <w:vAlign w:val="center"/>
          </w:tcPr>
          <w:p w14:paraId="060B8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rPr>
            </w:pPr>
          </w:p>
        </w:tc>
      </w:tr>
      <w:tr w14:paraId="5AFA6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4" w:type="pct"/>
            <w:vAlign w:val="center"/>
          </w:tcPr>
          <w:p w14:paraId="531DB8FA">
            <w:pPr>
              <w:pStyle w:val="28"/>
              <w:adjustRightInd w:val="0"/>
              <w:snapToGrid w:val="0"/>
              <w:rPr>
                <w:rFonts w:hint="default"/>
                <w:color w:val="auto"/>
                <w:sz w:val="21"/>
                <w:szCs w:val="21"/>
                <w:highlight w:val="none"/>
              </w:rPr>
            </w:pPr>
            <w:r>
              <w:rPr>
                <w:rFonts w:hint="default"/>
                <w:color w:val="auto"/>
                <w:sz w:val="21"/>
                <w:szCs w:val="21"/>
                <w:highlight w:val="none"/>
              </w:rPr>
              <w:t>其他</w:t>
            </w:r>
          </w:p>
        </w:tc>
        <w:tc>
          <w:tcPr>
            <w:tcW w:w="1863" w:type="pct"/>
            <w:vAlign w:val="center"/>
          </w:tcPr>
          <w:p w14:paraId="0C6E62C3">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682" w:type="pct"/>
            <w:vAlign w:val="center"/>
          </w:tcPr>
          <w:p w14:paraId="7D295132">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1181" w:type="pct"/>
            <w:vAlign w:val="center"/>
          </w:tcPr>
          <w:p w14:paraId="30690D6E">
            <w:pPr>
              <w:pStyle w:val="28"/>
              <w:adjustRightInd w:val="0"/>
              <w:snapToGrid w:val="0"/>
              <w:rPr>
                <w:rFonts w:hint="default"/>
                <w:color w:val="auto"/>
                <w:sz w:val="21"/>
                <w:szCs w:val="21"/>
                <w:highlight w:val="none"/>
              </w:rPr>
            </w:pPr>
            <w:r>
              <w:rPr>
                <w:rFonts w:hint="default"/>
                <w:color w:val="auto"/>
                <w:sz w:val="21"/>
                <w:szCs w:val="21"/>
                <w:highlight w:val="none"/>
              </w:rPr>
              <w:t>/</w:t>
            </w:r>
          </w:p>
        </w:tc>
        <w:tc>
          <w:tcPr>
            <w:tcW w:w="747" w:type="pct"/>
            <w:vAlign w:val="center"/>
          </w:tcPr>
          <w:p w14:paraId="10A5B500">
            <w:pPr>
              <w:pStyle w:val="28"/>
              <w:adjustRightInd w:val="0"/>
              <w:snapToGrid w:val="0"/>
              <w:rPr>
                <w:rFonts w:hint="default"/>
                <w:color w:val="auto"/>
                <w:sz w:val="21"/>
                <w:szCs w:val="21"/>
                <w:highlight w:val="none"/>
              </w:rPr>
            </w:pPr>
            <w:r>
              <w:rPr>
                <w:rFonts w:hint="default"/>
                <w:color w:val="auto"/>
                <w:sz w:val="21"/>
                <w:szCs w:val="21"/>
                <w:highlight w:val="none"/>
              </w:rPr>
              <w:t>/</w:t>
            </w:r>
          </w:p>
        </w:tc>
      </w:tr>
    </w:tbl>
    <w:p w14:paraId="3D9B4CDD">
      <w:pPr>
        <w:pStyle w:val="5"/>
        <w:snapToGrid/>
        <w:spacing w:before="0" w:after="0" w:line="360" w:lineRule="auto"/>
        <w:ind w:left="0" w:firstLine="0" w:firstLineChars="0"/>
        <w:jc w:val="center"/>
        <w:rPr>
          <w:b w:val="0"/>
          <w:bCs w:val="0"/>
          <w:color w:val="auto"/>
          <w:highlight w:val="none"/>
        </w:rPr>
      </w:pPr>
      <w:r>
        <w:rPr>
          <w:color w:val="auto"/>
          <w:highlight w:val="none"/>
        </w:rPr>
        <w:br w:type="page"/>
      </w:r>
      <w:bookmarkStart w:id="19" w:name="_Toc14541"/>
      <w:bookmarkStart w:id="20" w:name="_Toc152588074"/>
      <w:r>
        <w:rPr>
          <w:rFonts w:hint="eastAsia"/>
          <w:b w:val="0"/>
          <w:bCs w:val="0"/>
          <w:color w:val="auto"/>
          <w:highlight w:val="none"/>
        </w:rPr>
        <w:t>七、结论</w:t>
      </w:r>
      <w:bookmarkEnd w:id="19"/>
      <w:bookmarkEnd w:id="20"/>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16BB9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8" w:hRule="atLeast"/>
          <w:jc w:val="center"/>
        </w:trPr>
        <w:tc>
          <w:tcPr>
            <w:tcW w:w="5000" w:type="pct"/>
          </w:tcPr>
          <w:p w14:paraId="50CD003A">
            <w:pPr>
              <w:spacing w:line="480" w:lineRule="exact"/>
              <w:ind w:firstLine="480"/>
              <w:rPr>
                <w:rFonts w:ascii="宋体" w:hAnsi="宋体" w:cs="宋体"/>
                <w:color w:val="auto"/>
                <w:highlight w:val="none"/>
              </w:rPr>
            </w:pPr>
            <w:r>
              <w:rPr>
                <w:rFonts w:hint="eastAsia"/>
                <w:color w:val="auto"/>
                <w:highlight w:val="none"/>
              </w:rPr>
              <w:t>本项目为基础设施建设项目，符合当前国家产业政策、符合黑龙江省公路网规划、规划环评及其审查意见等相关要求；选线合理；本项目建设可以进一步完善国家公路网、将较好的改善区域交通条件、并进一步促进地方经济发展。本项目建设过程中不可避免的对生态、声、水、气环境有一定影响，实际建设过程中，建设单位通过采取相应的生态影响减缓措施及恢复措施和各项污染防治措施，使项目建设对周边生态环境的影响降至最低水平。因此，从生态环境保护角度分析，在严格实施本评价所提出的生态环境保护对策与措施的前提下，本项目建设可行。</w:t>
            </w:r>
          </w:p>
        </w:tc>
      </w:tr>
    </w:tbl>
    <w:p w14:paraId="3D7B2A57">
      <w:pPr>
        <w:ind w:firstLine="0" w:firstLineChars="0"/>
        <w:rPr>
          <w:color w:val="auto"/>
          <w:sz w:val="20"/>
          <w:szCs w:val="20"/>
          <w:highlight w:val="none"/>
        </w:rPr>
      </w:pPr>
    </w:p>
    <w:sectPr>
      <w:pgSz w:w="11906" w:h="16838"/>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435">
      <wne:acd wne:acdName="acd0"/>
    </wne:keymap>
    <wne:keymap wne:kcmPrimary="0442">
      <wne:acd wne:acdName="acd1"/>
    </wne:keymap>
  </wne:keymaps>
  <wne:acds>
    <wne:acd wne:argValue="AQAAAAAA" wne:acdName="acd0" wne:fciIndexBasedOn="0065"/>
    <wne:acd wne:argValue="AgBoiDRZATD+Vg1U"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BF2C5BC-5989-4799-BE6F-370F6C7F6F5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674EDFD-3377-4842-9C9C-82493458B98A}"/>
  </w:font>
  <w:font w:name="等线 Light">
    <w:altName w:val="宋体"/>
    <w:panose1 w:val="02010600030101010101"/>
    <w:charset w:val="86"/>
    <w:family w:val="auto"/>
    <w:pitch w:val="default"/>
    <w:sig w:usb0="00000000" w:usb1="00000000" w:usb2="00000016" w:usb3="00000000" w:csb0="0004000F" w:csb1="00000000"/>
  </w:font>
  <w:font w:name="汉鼎简书宋">
    <w:altName w:val="宋体"/>
    <w:panose1 w:val="00000000000000000000"/>
    <w:charset w:val="86"/>
    <w:family w:val="modern"/>
    <w:pitch w:val="default"/>
    <w:sig w:usb0="00000000" w:usb1="00000000" w:usb2="00000010" w:usb3="00000000" w:csb0="00040000" w:csb1="00000000"/>
  </w:font>
  <w:font w:name="方正小标宋_GBK">
    <w:panose1 w:val="02000000000000000000"/>
    <w:charset w:val="86"/>
    <w:family w:val="auto"/>
    <w:pitch w:val="default"/>
    <w:sig w:usb0="A00002BF" w:usb1="38CF7CFA" w:usb2="00082016" w:usb3="00000000" w:csb0="00040001" w:csb1="00000000"/>
    <w:embedRegular r:id="rId3" w:fontKey="{E1DFBC37-A427-4548-B9AC-13CF14C1AD0F}"/>
  </w:font>
  <w:font w:name="楷体_GB2312">
    <w:panose1 w:val="02010609030101010101"/>
    <w:charset w:val="86"/>
    <w:family w:val="modern"/>
    <w:pitch w:val="default"/>
    <w:sig w:usb0="00000001" w:usb1="080E0000" w:usb2="00000000" w:usb3="00000000" w:csb0="00040000" w:csb1="00000000"/>
    <w:embedRegular r:id="rId4" w:fontKey="{AF065B81-97CD-42D8-A357-62DE433CADD0}"/>
  </w:font>
  <w:font w:name="仿宋_GB2312">
    <w:panose1 w:val="02010609030101010101"/>
    <w:charset w:val="86"/>
    <w:family w:val="modern"/>
    <w:pitch w:val="default"/>
    <w:sig w:usb0="00000001" w:usb1="080E0000" w:usb2="00000000" w:usb3="00000000" w:csb0="00040000" w:csb1="00000000"/>
    <w:embedRegular r:id="rId5" w:fontKey="{71D47D05-234A-4BE8-8EA9-A5C82D3FFB9D}"/>
  </w:font>
  <w:font w:name="Wingdings 2">
    <w:panose1 w:val="05020102010507070707"/>
    <w:charset w:val="02"/>
    <w:family w:val="roman"/>
    <w:pitch w:val="default"/>
    <w:sig w:usb0="00000000" w:usb1="00000000" w:usb2="00000000" w:usb3="00000000" w:csb0="80000000" w:csb1="00000000"/>
    <w:embedRegular r:id="rId6" w:fontKey="{C5E3B85C-38F6-4F25-B411-D6B3E35178C0}"/>
  </w:font>
  <w:font w:name="仿宋">
    <w:panose1 w:val="02010609060101010101"/>
    <w:charset w:val="86"/>
    <w:family w:val="modern"/>
    <w:pitch w:val="default"/>
    <w:sig w:usb0="800002BF" w:usb1="38CF7CFA" w:usb2="00000016" w:usb3="00000000" w:csb0="00040001" w:csb1="00000000"/>
    <w:embedRegular r:id="rId7" w:fontKey="{DE3AD7F4-DEF7-48F6-929F-028BB8F2E0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BC13A">
    <w:pPr>
      <w:tabs>
        <w:tab w:val="center" w:pos="4153"/>
        <w:tab w:val="right" w:pos="8306"/>
      </w:tabs>
      <w:ind w:right="360"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925C">
    <w:pPr>
      <w:framePr w:wrap="around" w:vAnchor="text" w:hAnchor="margin" w:xAlign="outside" w:y="1"/>
      <w:tabs>
        <w:tab w:val="center" w:pos="4153"/>
        <w:tab w:val="right" w:pos="8306"/>
      </w:tabs>
      <w:ind w:firstLine="480"/>
    </w:pPr>
    <w:r>
      <w:fldChar w:fldCharType="begin"/>
    </w:r>
    <w:r>
      <w:instrText xml:space="preserve">PAGE  </w:instrText>
    </w:r>
    <w:r>
      <w:fldChar w:fldCharType="end"/>
    </w:r>
  </w:p>
  <w:p w14:paraId="0E70F10B">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445DE">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AF404">
    <w:pPr>
      <w:tabs>
        <w:tab w:val="center" w:pos="4153"/>
        <w:tab w:val="right" w:pos="8306"/>
      </w:tabs>
      <w:ind w:right="360" w:firstLine="48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00685" cy="229870"/>
              <wp:effectExtent l="0" t="0" r="0" b="0"/>
              <wp:wrapNone/>
              <wp:docPr id="1"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400685" cy="229870"/>
                      </a:xfrm>
                      <a:prstGeom prst="rect">
                        <a:avLst/>
                      </a:prstGeom>
                      <a:noFill/>
                      <a:ln>
                        <a:noFill/>
                      </a:ln>
                    </wps:spPr>
                    <wps:txbx>
                      <w:txbxContent>
                        <w:p w14:paraId="423B61D4">
                          <w:pPr>
                            <w:tabs>
                              <w:tab w:val="center" w:pos="4153"/>
                              <w:tab w:val="right" w:pos="8306"/>
                            </w:tabs>
                            <w:rPr>
                              <w:sz w:val="21"/>
                              <w:szCs w:val="32"/>
                            </w:rPr>
                          </w:pP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p>
                      </w:txbxContent>
                    </wps:txbx>
                    <wps:bodyPr rot="0" vert="horz" wrap="none" lIns="0" tIns="0" rIns="0" bIns="0" anchor="t" anchorCtr="0" upright="1">
                      <a:spAutoFit/>
                    </wps:bodyPr>
                  </wps:wsp>
                </a:graphicData>
              </a:graphic>
            </wp:anchor>
          </w:drawing>
        </mc:Choice>
        <mc:Fallback>
          <w:pict>
            <v:shape id="文本框 1025" o:spid="_x0000_s1026" o:spt="202" type="#_x0000_t202" style="position:absolute;left:0pt;margin-top:0pt;height:18.1pt;width:31.55pt;mso-position-horizontal:center;mso-position-horizontal-relative:margin;mso-wrap-style:none;z-index:251660288;mso-width-relative:page;mso-height-relative:page;" filled="f" stroked="f" coordsize="21600,21600" o:gfxdata="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CQGpHRAAAAAwEAAA8AAAAAAAAAAQAgAAAAIgAAAGRy&#10;cy9kb3ducmV2LnhtbFBLAQIUABQAAAAIAIdO4kD8TXnxDAIAAAUEAAAOAAAAAAAAAAEAIAAAACAB&#10;AABkcnMvZTJvRG9jLnhtbFBLBQYAAAAABgAGAFkBAACeBQAAAAA=&#10;">
              <v:fill on="f" focussize="0,0"/>
              <v:stroke on="f"/>
              <v:imagedata o:title=""/>
              <o:lock v:ext="edit" aspectratio="f"/>
              <v:textbox inset="0mm,0mm,0mm,0mm" style="mso-fit-shape-to-text:t;">
                <w:txbxContent>
                  <w:p w14:paraId="423B61D4">
                    <w:pPr>
                      <w:tabs>
                        <w:tab w:val="center" w:pos="4153"/>
                        <w:tab w:val="right" w:pos="8306"/>
                      </w:tabs>
                      <w:rPr>
                        <w:sz w:val="21"/>
                        <w:szCs w:val="32"/>
                      </w:rPr>
                    </w:pP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5D338">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9863E">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30F46">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038774"/>
    <w:multiLevelType w:val="singleLevel"/>
    <w:tmpl w:val="F3038774"/>
    <w:lvl w:ilvl="0" w:tentative="0">
      <w:start w:val="2"/>
      <w:numFmt w:val="decimal"/>
      <w:suff w:val="nothing"/>
      <w:lvlText w:val="（%1）"/>
      <w:lvlJc w:val="left"/>
    </w:lvl>
  </w:abstractNum>
  <w:abstractNum w:abstractNumId="1">
    <w:nsid w:val="35528EE1"/>
    <w:multiLevelType w:val="singleLevel"/>
    <w:tmpl w:val="35528EE1"/>
    <w:lvl w:ilvl="0" w:tentative="0">
      <w:start w:val="1"/>
      <w:numFmt w:val="decimal"/>
      <w:suff w:val="nothing"/>
      <w:lvlText w:val="（%1）"/>
      <w:lvlJc w:val="left"/>
    </w:lvl>
  </w:abstractNum>
  <w:abstractNum w:abstractNumId="2">
    <w:nsid w:val="3583C72C"/>
    <w:multiLevelType w:val="singleLevel"/>
    <w:tmpl w:val="3583C72C"/>
    <w:lvl w:ilvl="0" w:tentative="0">
      <w:start w:val="4"/>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wM2MzMzE5YjRmZTU0ZTMwMzRiYTE3NzI3NjA4YzUifQ=="/>
  </w:docVars>
  <w:rsids>
    <w:rsidRoot w:val="00A14947"/>
    <w:rsid w:val="000004BF"/>
    <w:rsid w:val="00000A78"/>
    <w:rsid w:val="00001CED"/>
    <w:rsid w:val="00001E67"/>
    <w:rsid w:val="00001EB3"/>
    <w:rsid w:val="00003CD8"/>
    <w:rsid w:val="0000481F"/>
    <w:rsid w:val="00004AB2"/>
    <w:rsid w:val="00004FBB"/>
    <w:rsid w:val="0000508E"/>
    <w:rsid w:val="00005B00"/>
    <w:rsid w:val="00006003"/>
    <w:rsid w:val="00006430"/>
    <w:rsid w:val="00007469"/>
    <w:rsid w:val="00007F9F"/>
    <w:rsid w:val="00014965"/>
    <w:rsid w:val="0001523A"/>
    <w:rsid w:val="00016ECB"/>
    <w:rsid w:val="00017D62"/>
    <w:rsid w:val="00021331"/>
    <w:rsid w:val="00025FDC"/>
    <w:rsid w:val="000269F6"/>
    <w:rsid w:val="00031939"/>
    <w:rsid w:val="00031A9D"/>
    <w:rsid w:val="00032D25"/>
    <w:rsid w:val="000336B2"/>
    <w:rsid w:val="000352EB"/>
    <w:rsid w:val="00035C40"/>
    <w:rsid w:val="00037FB4"/>
    <w:rsid w:val="00040E15"/>
    <w:rsid w:val="0004547A"/>
    <w:rsid w:val="00047016"/>
    <w:rsid w:val="00047138"/>
    <w:rsid w:val="00047550"/>
    <w:rsid w:val="0005131A"/>
    <w:rsid w:val="0005219D"/>
    <w:rsid w:val="000528A2"/>
    <w:rsid w:val="00053056"/>
    <w:rsid w:val="0005331E"/>
    <w:rsid w:val="00053F15"/>
    <w:rsid w:val="000551AD"/>
    <w:rsid w:val="0005568F"/>
    <w:rsid w:val="000560B9"/>
    <w:rsid w:val="000611F5"/>
    <w:rsid w:val="0006153D"/>
    <w:rsid w:val="00061B1F"/>
    <w:rsid w:val="000639F9"/>
    <w:rsid w:val="000642DD"/>
    <w:rsid w:val="0006464E"/>
    <w:rsid w:val="000664DB"/>
    <w:rsid w:val="00067146"/>
    <w:rsid w:val="00067BE7"/>
    <w:rsid w:val="00067F83"/>
    <w:rsid w:val="0007127D"/>
    <w:rsid w:val="00071477"/>
    <w:rsid w:val="00071AE5"/>
    <w:rsid w:val="00074783"/>
    <w:rsid w:val="00074DFA"/>
    <w:rsid w:val="00076B4B"/>
    <w:rsid w:val="000801E0"/>
    <w:rsid w:val="00081D13"/>
    <w:rsid w:val="00082A29"/>
    <w:rsid w:val="0008331D"/>
    <w:rsid w:val="000835AB"/>
    <w:rsid w:val="00083696"/>
    <w:rsid w:val="00083B8F"/>
    <w:rsid w:val="00083C18"/>
    <w:rsid w:val="000850C7"/>
    <w:rsid w:val="00087332"/>
    <w:rsid w:val="000913DC"/>
    <w:rsid w:val="00092132"/>
    <w:rsid w:val="00092899"/>
    <w:rsid w:val="000964AB"/>
    <w:rsid w:val="000A1094"/>
    <w:rsid w:val="000A178E"/>
    <w:rsid w:val="000A399F"/>
    <w:rsid w:val="000A557E"/>
    <w:rsid w:val="000A7230"/>
    <w:rsid w:val="000A79B6"/>
    <w:rsid w:val="000A7FDE"/>
    <w:rsid w:val="000B058F"/>
    <w:rsid w:val="000B300F"/>
    <w:rsid w:val="000B4C08"/>
    <w:rsid w:val="000B5645"/>
    <w:rsid w:val="000B5E6F"/>
    <w:rsid w:val="000B693F"/>
    <w:rsid w:val="000B7811"/>
    <w:rsid w:val="000C09AC"/>
    <w:rsid w:val="000C0A63"/>
    <w:rsid w:val="000C2B2A"/>
    <w:rsid w:val="000C3392"/>
    <w:rsid w:val="000C437E"/>
    <w:rsid w:val="000D15B5"/>
    <w:rsid w:val="000D246F"/>
    <w:rsid w:val="000D3144"/>
    <w:rsid w:val="000D686C"/>
    <w:rsid w:val="000E2331"/>
    <w:rsid w:val="000E29E9"/>
    <w:rsid w:val="000E3E37"/>
    <w:rsid w:val="000E5F16"/>
    <w:rsid w:val="000F4452"/>
    <w:rsid w:val="000F4971"/>
    <w:rsid w:val="000F4BEF"/>
    <w:rsid w:val="000F6DA1"/>
    <w:rsid w:val="000F701B"/>
    <w:rsid w:val="000F7C71"/>
    <w:rsid w:val="000F7D72"/>
    <w:rsid w:val="00101306"/>
    <w:rsid w:val="00104EEF"/>
    <w:rsid w:val="001056A0"/>
    <w:rsid w:val="00105849"/>
    <w:rsid w:val="001071B4"/>
    <w:rsid w:val="001073B9"/>
    <w:rsid w:val="001100DB"/>
    <w:rsid w:val="00110406"/>
    <w:rsid w:val="00110F79"/>
    <w:rsid w:val="00111901"/>
    <w:rsid w:val="00114CC7"/>
    <w:rsid w:val="00115279"/>
    <w:rsid w:val="00117459"/>
    <w:rsid w:val="0011749A"/>
    <w:rsid w:val="0012382F"/>
    <w:rsid w:val="00123F1F"/>
    <w:rsid w:val="00125861"/>
    <w:rsid w:val="00127A68"/>
    <w:rsid w:val="00130645"/>
    <w:rsid w:val="0013445B"/>
    <w:rsid w:val="00134C04"/>
    <w:rsid w:val="00140B13"/>
    <w:rsid w:val="00141B68"/>
    <w:rsid w:val="00143603"/>
    <w:rsid w:val="001466DA"/>
    <w:rsid w:val="00152E03"/>
    <w:rsid w:val="00153722"/>
    <w:rsid w:val="00153A3E"/>
    <w:rsid w:val="001547ED"/>
    <w:rsid w:val="00154DE1"/>
    <w:rsid w:val="0015526C"/>
    <w:rsid w:val="00155B40"/>
    <w:rsid w:val="00157435"/>
    <w:rsid w:val="00162A5C"/>
    <w:rsid w:val="00163EEA"/>
    <w:rsid w:val="001655A3"/>
    <w:rsid w:val="001655F4"/>
    <w:rsid w:val="001661F0"/>
    <w:rsid w:val="00166701"/>
    <w:rsid w:val="00167689"/>
    <w:rsid w:val="00167A07"/>
    <w:rsid w:val="0017046A"/>
    <w:rsid w:val="001704A3"/>
    <w:rsid w:val="00174D3E"/>
    <w:rsid w:val="0017504D"/>
    <w:rsid w:val="001755A8"/>
    <w:rsid w:val="00177422"/>
    <w:rsid w:val="00180533"/>
    <w:rsid w:val="00184F10"/>
    <w:rsid w:val="00185546"/>
    <w:rsid w:val="00190233"/>
    <w:rsid w:val="00190437"/>
    <w:rsid w:val="00190F76"/>
    <w:rsid w:val="0019146B"/>
    <w:rsid w:val="00193A6F"/>
    <w:rsid w:val="00194398"/>
    <w:rsid w:val="00194E37"/>
    <w:rsid w:val="0019571A"/>
    <w:rsid w:val="0019732B"/>
    <w:rsid w:val="001A4366"/>
    <w:rsid w:val="001A55D5"/>
    <w:rsid w:val="001A6595"/>
    <w:rsid w:val="001A7D03"/>
    <w:rsid w:val="001A7D2A"/>
    <w:rsid w:val="001B0CD6"/>
    <w:rsid w:val="001B1D3A"/>
    <w:rsid w:val="001B223C"/>
    <w:rsid w:val="001B40BB"/>
    <w:rsid w:val="001B507A"/>
    <w:rsid w:val="001B574C"/>
    <w:rsid w:val="001B6DEE"/>
    <w:rsid w:val="001B7D96"/>
    <w:rsid w:val="001C0AF9"/>
    <w:rsid w:val="001C155A"/>
    <w:rsid w:val="001C18A6"/>
    <w:rsid w:val="001C31B9"/>
    <w:rsid w:val="001C48C0"/>
    <w:rsid w:val="001C7344"/>
    <w:rsid w:val="001C7A01"/>
    <w:rsid w:val="001D3711"/>
    <w:rsid w:val="001D5553"/>
    <w:rsid w:val="001D5EE2"/>
    <w:rsid w:val="001D6726"/>
    <w:rsid w:val="001D7F57"/>
    <w:rsid w:val="001E31F2"/>
    <w:rsid w:val="001F049C"/>
    <w:rsid w:val="001F3347"/>
    <w:rsid w:val="001F4396"/>
    <w:rsid w:val="001F4440"/>
    <w:rsid w:val="001F47EE"/>
    <w:rsid w:val="001F4F54"/>
    <w:rsid w:val="001F69E4"/>
    <w:rsid w:val="001F6BE1"/>
    <w:rsid w:val="001F6C0B"/>
    <w:rsid w:val="002009D6"/>
    <w:rsid w:val="00203D34"/>
    <w:rsid w:val="00206384"/>
    <w:rsid w:val="00206A65"/>
    <w:rsid w:val="002124F0"/>
    <w:rsid w:val="00212D31"/>
    <w:rsid w:val="002130C7"/>
    <w:rsid w:val="00213C73"/>
    <w:rsid w:val="002143E7"/>
    <w:rsid w:val="002145EA"/>
    <w:rsid w:val="00214D20"/>
    <w:rsid w:val="002175A1"/>
    <w:rsid w:val="00220D09"/>
    <w:rsid w:val="002212AC"/>
    <w:rsid w:val="002218A8"/>
    <w:rsid w:val="00222539"/>
    <w:rsid w:val="0022306D"/>
    <w:rsid w:val="0022370F"/>
    <w:rsid w:val="00223B78"/>
    <w:rsid w:val="00224A2E"/>
    <w:rsid w:val="00225B64"/>
    <w:rsid w:val="00226574"/>
    <w:rsid w:val="002267C8"/>
    <w:rsid w:val="002278EC"/>
    <w:rsid w:val="0023057E"/>
    <w:rsid w:val="002307E8"/>
    <w:rsid w:val="0023218A"/>
    <w:rsid w:val="00233822"/>
    <w:rsid w:val="00233AE2"/>
    <w:rsid w:val="002346AC"/>
    <w:rsid w:val="00234D48"/>
    <w:rsid w:val="002357C7"/>
    <w:rsid w:val="00235EC7"/>
    <w:rsid w:val="002367C4"/>
    <w:rsid w:val="00240113"/>
    <w:rsid w:val="00240CE8"/>
    <w:rsid w:val="002413C3"/>
    <w:rsid w:val="00241732"/>
    <w:rsid w:val="00243B76"/>
    <w:rsid w:val="00245479"/>
    <w:rsid w:val="00246409"/>
    <w:rsid w:val="0024728B"/>
    <w:rsid w:val="0025201C"/>
    <w:rsid w:val="00255FF5"/>
    <w:rsid w:val="0025679E"/>
    <w:rsid w:val="00260C68"/>
    <w:rsid w:val="002617A4"/>
    <w:rsid w:val="00263033"/>
    <w:rsid w:val="002648B0"/>
    <w:rsid w:val="00264C09"/>
    <w:rsid w:val="00264F9F"/>
    <w:rsid w:val="0026535C"/>
    <w:rsid w:val="00265499"/>
    <w:rsid w:val="00265C25"/>
    <w:rsid w:val="00266BEE"/>
    <w:rsid w:val="00266E15"/>
    <w:rsid w:val="00272049"/>
    <w:rsid w:val="00272ECA"/>
    <w:rsid w:val="00275271"/>
    <w:rsid w:val="0027535E"/>
    <w:rsid w:val="00275AA6"/>
    <w:rsid w:val="00276B82"/>
    <w:rsid w:val="002807D5"/>
    <w:rsid w:val="0028202A"/>
    <w:rsid w:val="00282CCD"/>
    <w:rsid w:val="00284F0C"/>
    <w:rsid w:val="00286A6C"/>
    <w:rsid w:val="00293445"/>
    <w:rsid w:val="002941A9"/>
    <w:rsid w:val="002A168C"/>
    <w:rsid w:val="002A2C48"/>
    <w:rsid w:val="002A3434"/>
    <w:rsid w:val="002A3EED"/>
    <w:rsid w:val="002A4309"/>
    <w:rsid w:val="002A4A39"/>
    <w:rsid w:val="002A5359"/>
    <w:rsid w:val="002A53C0"/>
    <w:rsid w:val="002A5508"/>
    <w:rsid w:val="002A5A17"/>
    <w:rsid w:val="002A6425"/>
    <w:rsid w:val="002A6DA1"/>
    <w:rsid w:val="002A7681"/>
    <w:rsid w:val="002B1025"/>
    <w:rsid w:val="002B267C"/>
    <w:rsid w:val="002B49E2"/>
    <w:rsid w:val="002B7B00"/>
    <w:rsid w:val="002B7C44"/>
    <w:rsid w:val="002C0054"/>
    <w:rsid w:val="002C0DE0"/>
    <w:rsid w:val="002C1388"/>
    <w:rsid w:val="002C1762"/>
    <w:rsid w:val="002C25BB"/>
    <w:rsid w:val="002C38F2"/>
    <w:rsid w:val="002C3C6A"/>
    <w:rsid w:val="002C3FE1"/>
    <w:rsid w:val="002C4046"/>
    <w:rsid w:val="002C5FB7"/>
    <w:rsid w:val="002C79E5"/>
    <w:rsid w:val="002D408E"/>
    <w:rsid w:val="002D42DB"/>
    <w:rsid w:val="002D4DF2"/>
    <w:rsid w:val="002D5B57"/>
    <w:rsid w:val="002D7DAB"/>
    <w:rsid w:val="002E149C"/>
    <w:rsid w:val="002E1F3A"/>
    <w:rsid w:val="002E2150"/>
    <w:rsid w:val="002E298A"/>
    <w:rsid w:val="002E6290"/>
    <w:rsid w:val="002F02A4"/>
    <w:rsid w:val="002F171B"/>
    <w:rsid w:val="002F17E0"/>
    <w:rsid w:val="002F272B"/>
    <w:rsid w:val="002F3F95"/>
    <w:rsid w:val="002F72E0"/>
    <w:rsid w:val="002F7C6D"/>
    <w:rsid w:val="003018B9"/>
    <w:rsid w:val="00301DF5"/>
    <w:rsid w:val="003027E4"/>
    <w:rsid w:val="0030332C"/>
    <w:rsid w:val="00304F36"/>
    <w:rsid w:val="00305599"/>
    <w:rsid w:val="00306890"/>
    <w:rsid w:val="00307E28"/>
    <w:rsid w:val="00312296"/>
    <w:rsid w:val="003131B7"/>
    <w:rsid w:val="0031340E"/>
    <w:rsid w:val="00313491"/>
    <w:rsid w:val="00316464"/>
    <w:rsid w:val="003177ED"/>
    <w:rsid w:val="0032073A"/>
    <w:rsid w:val="00321D8E"/>
    <w:rsid w:val="003220A3"/>
    <w:rsid w:val="0032254D"/>
    <w:rsid w:val="00323E7D"/>
    <w:rsid w:val="00330D61"/>
    <w:rsid w:val="003312FD"/>
    <w:rsid w:val="00331DE5"/>
    <w:rsid w:val="00334996"/>
    <w:rsid w:val="003352BF"/>
    <w:rsid w:val="00336969"/>
    <w:rsid w:val="00336C52"/>
    <w:rsid w:val="00341B3E"/>
    <w:rsid w:val="00341B42"/>
    <w:rsid w:val="00344426"/>
    <w:rsid w:val="00345154"/>
    <w:rsid w:val="0034560E"/>
    <w:rsid w:val="003469A1"/>
    <w:rsid w:val="003474BE"/>
    <w:rsid w:val="00350523"/>
    <w:rsid w:val="00352975"/>
    <w:rsid w:val="003529A4"/>
    <w:rsid w:val="003536C4"/>
    <w:rsid w:val="00353D93"/>
    <w:rsid w:val="003543C5"/>
    <w:rsid w:val="00354777"/>
    <w:rsid w:val="003547B1"/>
    <w:rsid w:val="00356868"/>
    <w:rsid w:val="0035724B"/>
    <w:rsid w:val="00357CE6"/>
    <w:rsid w:val="00361C00"/>
    <w:rsid w:val="00364441"/>
    <w:rsid w:val="0036485B"/>
    <w:rsid w:val="003654BE"/>
    <w:rsid w:val="0036765F"/>
    <w:rsid w:val="003707FC"/>
    <w:rsid w:val="00370B91"/>
    <w:rsid w:val="003722CC"/>
    <w:rsid w:val="00372D87"/>
    <w:rsid w:val="00372DE1"/>
    <w:rsid w:val="00373B0D"/>
    <w:rsid w:val="00376988"/>
    <w:rsid w:val="00381A72"/>
    <w:rsid w:val="00382908"/>
    <w:rsid w:val="00384F2F"/>
    <w:rsid w:val="00384FB4"/>
    <w:rsid w:val="003857E1"/>
    <w:rsid w:val="00386ACF"/>
    <w:rsid w:val="00386D3A"/>
    <w:rsid w:val="003909A3"/>
    <w:rsid w:val="003913B0"/>
    <w:rsid w:val="00396131"/>
    <w:rsid w:val="003A09AD"/>
    <w:rsid w:val="003A1948"/>
    <w:rsid w:val="003A1D3A"/>
    <w:rsid w:val="003A24C7"/>
    <w:rsid w:val="003A3F4A"/>
    <w:rsid w:val="003B152A"/>
    <w:rsid w:val="003B3CB9"/>
    <w:rsid w:val="003B4796"/>
    <w:rsid w:val="003B545B"/>
    <w:rsid w:val="003B6F7C"/>
    <w:rsid w:val="003B74CB"/>
    <w:rsid w:val="003C0236"/>
    <w:rsid w:val="003C093F"/>
    <w:rsid w:val="003C1E78"/>
    <w:rsid w:val="003C44E7"/>
    <w:rsid w:val="003C4677"/>
    <w:rsid w:val="003C67EC"/>
    <w:rsid w:val="003D24C0"/>
    <w:rsid w:val="003D3EE9"/>
    <w:rsid w:val="003D4D77"/>
    <w:rsid w:val="003D5563"/>
    <w:rsid w:val="003E034E"/>
    <w:rsid w:val="003E0B00"/>
    <w:rsid w:val="003E0C29"/>
    <w:rsid w:val="003E47FB"/>
    <w:rsid w:val="003E7681"/>
    <w:rsid w:val="003F0809"/>
    <w:rsid w:val="003F1019"/>
    <w:rsid w:val="003F5AB7"/>
    <w:rsid w:val="003F611C"/>
    <w:rsid w:val="003F755C"/>
    <w:rsid w:val="004021A9"/>
    <w:rsid w:val="004048A5"/>
    <w:rsid w:val="00405B47"/>
    <w:rsid w:val="00405D92"/>
    <w:rsid w:val="00406085"/>
    <w:rsid w:val="00406F01"/>
    <w:rsid w:val="004105BE"/>
    <w:rsid w:val="00410C2F"/>
    <w:rsid w:val="00411B36"/>
    <w:rsid w:val="004121D7"/>
    <w:rsid w:val="00414C32"/>
    <w:rsid w:val="00415486"/>
    <w:rsid w:val="0041565D"/>
    <w:rsid w:val="00415865"/>
    <w:rsid w:val="00416D50"/>
    <w:rsid w:val="00417539"/>
    <w:rsid w:val="00417772"/>
    <w:rsid w:val="00420E6A"/>
    <w:rsid w:val="00421A76"/>
    <w:rsid w:val="00424262"/>
    <w:rsid w:val="00427D51"/>
    <w:rsid w:val="00433CA9"/>
    <w:rsid w:val="00433E1C"/>
    <w:rsid w:val="00434190"/>
    <w:rsid w:val="004342AE"/>
    <w:rsid w:val="0043521D"/>
    <w:rsid w:val="00442024"/>
    <w:rsid w:val="0044254C"/>
    <w:rsid w:val="00443F6A"/>
    <w:rsid w:val="00447E43"/>
    <w:rsid w:val="00450A17"/>
    <w:rsid w:val="004510C7"/>
    <w:rsid w:val="004521C4"/>
    <w:rsid w:val="004540A0"/>
    <w:rsid w:val="004546DA"/>
    <w:rsid w:val="0045508D"/>
    <w:rsid w:val="00455555"/>
    <w:rsid w:val="00455B24"/>
    <w:rsid w:val="00456123"/>
    <w:rsid w:val="00456625"/>
    <w:rsid w:val="0045701A"/>
    <w:rsid w:val="00461C9E"/>
    <w:rsid w:val="00462854"/>
    <w:rsid w:val="00462B2D"/>
    <w:rsid w:val="00466321"/>
    <w:rsid w:val="004672AF"/>
    <w:rsid w:val="00467C94"/>
    <w:rsid w:val="004727B0"/>
    <w:rsid w:val="0047299E"/>
    <w:rsid w:val="004740B9"/>
    <w:rsid w:val="00475A66"/>
    <w:rsid w:val="00480247"/>
    <w:rsid w:val="0048081D"/>
    <w:rsid w:val="00480C08"/>
    <w:rsid w:val="0048117E"/>
    <w:rsid w:val="004855F6"/>
    <w:rsid w:val="00486288"/>
    <w:rsid w:val="00486F0C"/>
    <w:rsid w:val="00487B36"/>
    <w:rsid w:val="00490B4F"/>
    <w:rsid w:val="00494670"/>
    <w:rsid w:val="004968AA"/>
    <w:rsid w:val="00497FA8"/>
    <w:rsid w:val="004A0EB4"/>
    <w:rsid w:val="004A17B4"/>
    <w:rsid w:val="004A1C15"/>
    <w:rsid w:val="004A3823"/>
    <w:rsid w:val="004A59BB"/>
    <w:rsid w:val="004A6701"/>
    <w:rsid w:val="004A7D84"/>
    <w:rsid w:val="004B0F80"/>
    <w:rsid w:val="004B1065"/>
    <w:rsid w:val="004B124F"/>
    <w:rsid w:val="004B2216"/>
    <w:rsid w:val="004B391B"/>
    <w:rsid w:val="004B3F2B"/>
    <w:rsid w:val="004B430B"/>
    <w:rsid w:val="004B43A3"/>
    <w:rsid w:val="004B4C49"/>
    <w:rsid w:val="004B50BD"/>
    <w:rsid w:val="004B53FC"/>
    <w:rsid w:val="004B58A5"/>
    <w:rsid w:val="004B63D9"/>
    <w:rsid w:val="004B768A"/>
    <w:rsid w:val="004C0882"/>
    <w:rsid w:val="004C0C1C"/>
    <w:rsid w:val="004C2444"/>
    <w:rsid w:val="004C2F6E"/>
    <w:rsid w:val="004C3099"/>
    <w:rsid w:val="004C55BE"/>
    <w:rsid w:val="004C5A78"/>
    <w:rsid w:val="004C5AAC"/>
    <w:rsid w:val="004D07D0"/>
    <w:rsid w:val="004D4569"/>
    <w:rsid w:val="004D46C4"/>
    <w:rsid w:val="004D632E"/>
    <w:rsid w:val="004D66A0"/>
    <w:rsid w:val="004D6899"/>
    <w:rsid w:val="004D7B23"/>
    <w:rsid w:val="004D7FA0"/>
    <w:rsid w:val="004E5B30"/>
    <w:rsid w:val="004F0779"/>
    <w:rsid w:val="004F086A"/>
    <w:rsid w:val="004F1230"/>
    <w:rsid w:val="004F173F"/>
    <w:rsid w:val="004F177C"/>
    <w:rsid w:val="004F1AA3"/>
    <w:rsid w:val="004F2DCE"/>
    <w:rsid w:val="004F3CC0"/>
    <w:rsid w:val="004F44B2"/>
    <w:rsid w:val="004F4BD3"/>
    <w:rsid w:val="004F5F33"/>
    <w:rsid w:val="004F7092"/>
    <w:rsid w:val="004F7101"/>
    <w:rsid w:val="005028A0"/>
    <w:rsid w:val="005039CB"/>
    <w:rsid w:val="0050558F"/>
    <w:rsid w:val="005057E0"/>
    <w:rsid w:val="00506286"/>
    <w:rsid w:val="00506E09"/>
    <w:rsid w:val="00506E30"/>
    <w:rsid w:val="00510813"/>
    <w:rsid w:val="00510D17"/>
    <w:rsid w:val="0051105C"/>
    <w:rsid w:val="00511DE0"/>
    <w:rsid w:val="005143DA"/>
    <w:rsid w:val="00515431"/>
    <w:rsid w:val="005154F1"/>
    <w:rsid w:val="00517480"/>
    <w:rsid w:val="00517F02"/>
    <w:rsid w:val="0052110E"/>
    <w:rsid w:val="005221AF"/>
    <w:rsid w:val="0052290A"/>
    <w:rsid w:val="0052315D"/>
    <w:rsid w:val="00524547"/>
    <w:rsid w:val="005258A2"/>
    <w:rsid w:val="005261BC"/>
    <w:rsid w:val="00527856"/>
    <w:rsid w:val="00530F63"/>
    <w:rsid w:val="00530F7C"/>
    <w:rsid w:val="00531669"/>
    <w:rsid w:val="00531A6B"/>
    <w:rsid w:val="00532055"/>
    <w:rsid w:val="005325AD"/>
    <w:rsid w:val="00534567"/>
    <w:rsid w:val="00534F43"/>
    <w:rsid w:val="005355C8"/>
    <w:rsid w:val="00535A84"/>
    <w:rsid w:val="00535D6E"/>
    <w:rsid w:val="00536889"/>
    <w:rsid w:val="00540881"/>
    <w:rsid w:val="00542E07"/>
    <w:rsid w:val="00547F45"/>
    <w:rsid w:val="00550368"/>
    <w:rsid w:val="0055288F"/>
    <w:rsid w:val="00552BE4"/>
    <w:rsid w:val="005530A2"/>
    <w:rsid w:val="005539DE"/>
    <w:rsid w:val="00554A6D"/>
    <w:rsid w:val="00554A7B"/>
    <w:rsid w:val="00554F91"/>
    <w:rsid w:val="0055572C"/>
    <w:rsid w:val="00560226"/>
    <w:rsid w:val="0056024C"/>
    <w:rsid w:val="0056064F"/>
    <w:rsid w:val="00561B84"/>
    <w:rsid w:val="00561DC9"/>
    <w:rsid w:val="005653D1"/>
    <w:rsid w:val="00566B74"/>
    <w:rsid w:val="0057124F"/>
    <w:rsid w:val="00571929"/>
    <w:rsid w:val="00571D98"/>
    <w:rsid w:val="00571E83"/>
    <w:rsid w:val="005720AE"/>
    <w:rsid w:val="00574234"/>
    <w:rsid w:val="005749DE"/>
    <w:rsid w:val="005762D4"/>
    <w:rsid w:val="00577F37"/>
    <w:rsid w:val="0058030D"/>
    <w:rsid w:val="005812DB"/>
    <w:rsid w:val="005814A2"/>
    <w:rsid w:val="00582045"/>
    <w:rsid w:val="00586232"/>
    <w:rsid w:val="00587835"/>
    <w:rsid w:val="0058783F"/>
    <w:rsid w:val="00590AE3"/>
    <w:rsid w:val="00590B94"/>
    <w:rsid w:val="00590E43"/>
    <w:rsid w:val="005918F1"/>
    <w:rsid w:val="00593782"/>
    <w:rsid w:val="005A06B7"/>
    <w:rsid w:val="005A1759"/>
    <w:rsid w:val="005A3C44"/>
    <w:rsid w:val="005A4918"/>
    <w:rsid w:val="005A7614"/>
    <w:rsid w:val="005A7995"/>
    <w:rsid w:val="005B3488"/>
    <w:rsid w:val="005B550F"/>
    <w:rsid w:val="005B67D6"/>
    <w:rsid w:val="005B7DBB"/>
    <w:rsid w:val="005C02D9"/>
    <w:rsid w:val="005C404C"/>
    <w:rsid w:val="005C439A"/>
    <w:rsid w:val="005C4F6E"/>
    <w:rsid w:val="005C6BDA"/>
    <w:rsid w:val="005C70C9"/>
    <w:rsid w:val="005C75E7"/>
    <w:rsid w:val="005D0369"/>
    <w:rsid w:val="005D1A5A"/>
    <w:rsid w:val="005D317D"/>
    <w:rsid w:val="005D53FE"/>
    <w:rsid w:val="005D59B6"/>
    <w:rsid w:val="005D7A0F"/>
    <w:rsid w:val="005E0438"/>
    <w:rsid w:val="005E04BC"/>
    <w:rsid w:val="005E1791"/>
    <w:rsid w:val="005E27FE"/>
    <w:rsid w:val="005E2CE6"/>
    <w:rsid w:val="005E4D33"/>
    <w:rsid w:val="005E5F3F"/>
    <w:rsid w:val="005E6324"/>
    <w:rsid w:val="005E6DDD"/>
    <w:rsid w:val="005F1531"/>
    <w:rsid w:val="005F228B"/>
    <w:rsid w:val="005F29CD"/>
    <w:rsid w:val="005F2B10"/>
    <w:rsid w:val="005F4DFB"/>
    <w:rsid w:val="005F533A"/>
    <w:rsid w:val="005F5AE2"/>
    <w:rsid w:val="005F6CC0"/>
    <w:rsid w:val="005F73A2"/>
    <w:rsid w:val="006006BD"/>
    <w:rsid w:val="006023A0"/>
    <w:rsid w:val="00602551"/>
    <w:rsid w:val="00603E5B"/>
    <w:rsid w:val="00604BC8"/>
    <w:rsid w:val="006079ED"/>
    <w:rsid w:val="00611BF5"/>
    <w:rsid w:val="00613328"/>
    <w:rsid w:val="006134B9"/>
    <w:rsid w:val="006134E3"/>
    <w:rsid w:val="00615B4C"/>
    <w:rsid w:val="00615B5D"/>
    <w:rsid w:val="006179B4"/>
    <w:rsid w:val="0062146F"/>
    <w:rsid w:val="00625288"/>
    <w:rsid w:val="00625C2D"/>
    <w:rsid w:val="00625D59"/>
    <w:rsid w:val="00627813"/>
    <w:rsid w:val="00633918"/>
    <w:rsid w:val="00633CA8"/>
    <w:rsid w:val="00633CFD"/>
    <w:rsid w:val="006343AF"/>
    <w:rsid w:val="0063634A"/>
    <w:rsid w:val="006363F7"/>
    <w:rsid w:val="0063657D"/>
    <w:rsid w:val="00636A55"/>
    <w:rsid w:val="00636A90"/>
    <w:rsid w:val="00637C68"/>
    <w:rsid w:val="00637E34"/>
    <w:rsid w:val="00640CD8"/>
    <w:rsid w:val="00641F70"/>
    <w:rsid w:val="0064250D"/>
    <w:rsid w:val="00642F9D"/>
    <w:rsid w:val="006438DB"/>
    <w:rsid w:val="00643957"/>
    <w:rsid w:val="0064534C"/>
    <w:rsid w:val="006471DC"/>
    <w:rsid w:val="00651B1D"/>
    <w:rsid w:val="006528BC"/>
    <w:rsid w:val="00652C72"/>
    <w:rsid w:val="006535EB"/>
    <w:rsid w:val="00653F6B"/>
    <w:rsid w:val="0065447E"/>
    <w:rsid w:val="006615D5"/>
    <w:rsid w:val="00663016"/>
    <w:rsid w:val="0066345C"/>
    <w:rsid w:val="00664CD8"/>
    <w:rsid w:val="006673D9"/>
    <w:rsid w:val="006674CB"/>
    <w:rsid w:val="00667BC6"/>
    <w:rsid w:val="006700C1"/>
    <w:rsid w:val="00672AFC"/>
    <w:rsid w:val="00674605"/>
    <w:rsid w:val="006748B8"/>
    <w:rsid w:val="006748CC"/>
    <w:rsid w:val="0067493B"/>
    <w:rsid w:val="006772AA"/>
    <w:rsid w:val="00677D27"/>
    <w:rsid w:val="00681AB8"/>
    <w:rsid w:val="00682331"/>
    <w:rsid w:val="00684C24"/>
    <w:rsid w:val="0068535B"/>
    <w:rsid w:val="006859E6"/>
    <w:rsid w:val="0068618A"/>
    <w:rsid w:val="00686DA1"/>
    <w:rsid w:val="0068736E"/>
    <w:rsid w:val="0069290A"/>
    <w:rsid w:val="00693BAC"/>
    <w:rsid w:val="00693D26"/>
    <w:rsid w:val="0069554C"/>
    <w:rsid w:val="00696365"/>
    <w:rsid w:val="00697032"/>
    <w:rsid w:val="006975AC"/>
    <w:rsid w:val="006A026D"/>
    <w:rsid w:val="006A0FAC"/>
    <w:rsid w:val="006A120D"/>
    <w:rsid w:val="006A144C"/>
    <w:rsid w:val="006A15FB"/>
    <w:rsid w:val="006A42D9"/>
    <w:rsid w:val="006A648D"/>
    <w:rsid w:val="006A72BF"/>
    <w:rsid w:val="006B1BF0"/>
    <w:rsid w:val="006B2D9C"/>
    <w:rsid w:val="006B332A"/>
    <w:rsid w:val="006B33BD"/>
    <w:rsid w:val="006B3CA1"/>
    <w:rsid w:val="006B4EDE"/>
    <w:rsid w:val="006B50D1"/>
    <w:rsid w:val="006B67A9"/>
    <w:rsid w:val="006B6EC2"/>
    <w:rsid w:val="006B76AB"/>
    <w:rsid w:val="006C1579"/>
    <w:rsid w:val="006C16F1"/>
    <w:rsid w:val="006C2288"/>
    <w:rsid w:val="006C37D5"/>
    <w:rsid w:val="006C3AA1"/>
    <w:rsid w:val="006C3BAC"/>
    <w:rsid w:val="006C3F75"/>
    <w:rsid w:val="006C4F7D"/>
    <w:rsid w:val="006C50D5"/>
    <w:rsid w:val="006C5683"/>
    <w:rsid w:val="006C60FC"/>
    <w:rsid w:val="006D04B1"/>
    <w:rsid w:val="006D170E"/>
    <w:rsid w:val="006D21EB"/>
    <w:rsid w:val="006D3517"/>
    <w:rsid w:val="006D3661"/>
    <w:rsid w:val="006D3AD9"/>
    <w:rsid w:val="006D77BE"/>
    <w:rsid w:val="006E03A0"/>
    <w:rsid w:val="006E06AF"/>
    <w:rsid w:val="006E42B8"/>
    <w:rsid w:val="006E77B7"/>
    <w:rsid w:val="006F0427"/>
    <w:rsid w:val="006F13AB"/>
    <w:rsid w:val="006F1687"/>
    <w:rsid w:val="006F1789"/>
    <w:rsid w:val="006F1964"/>
    <w:rsid w:val="006F19E0"/>
    <w:rsid w:val="006F2C37"/>
    <w:rsid w:val="006F6E3F"/>
    <w:rsid w:val="007009A9"/>
    <w:rsid w:val="00701876"/>
    <w:rsid w:val="00701AF3"/>
    <w:rsid w:val="007053BD"/>
    <w:rsid w:val="00706C5D"/>
    <w:rsid w:val="007070F7"/>
    <w:rsid w:val="00707576"/>
    <w:rsid w:val="00710513"/>
    <w:rsid w:val="007118E6"/>
    <w:rsid w:val="00712FC7"/>
    <w:rsid w:val="00713BA7"/>
    <w:rsid w:val="007144F9"/>
    <w:rsid w:val="007151CE"/>
    <w:rsid w:val="00715346"/>
    <w:rsid w:val="0071687F"/>
    <w:rsid w:val="00716956"/>
    <w:rsid w:val="00717334"/>
    <w:rsid w:val="007200FF"/>
    <w:rsid w:val="007225C9"/>
    <w:rsid w:val="0072402B"/>
    <w:rsid w:val="00725575"/>
    <w:rsid w:val="00725D6B"/>
    <w:rsid w:val="00730F50"/>
    <w:rsid w:val="007321AF"/>
    <w:rsid w:val="00732E7E"/>
    <w:rsid w:val="00733713"/>
    <w:rsid w:val="007342A9"/>
    <w:rsid w:val="0073521D"/>
    <w:rsid w:val="00735CD7"/>
    <w:rsid w:val="00735DC0"/>
    <w:rsid w:val="00736571"/>
    <w:rsid w:val="007408C1"/>
    <w:rsid w:val="007430A1"/>
    <w:rsid w:val="00743439"/>
    <w:rsid w:val="0074781E"/>
    <w:rsid w:val="0075171C"/>
    <w:rsid w:val="00752163"/>
    <w:rsid w:val="00754034"/>
    <w:rsid w:val="00754BF1"/>
    <w:rsid w:val="00754F88"/>
    <w:rsid w:val="00755A30"/>
    <w:rsid w:val="00755E1C"/>
    <w:rsid w:val="00756556"/>
    <w:rsid w:val="007571B2"/>
    <w:rsid w:val="0076080E"/>
    <w:rsid w:val="00760FB5"/>
    <w:rsid w:val="0076132B"/>
    <w:rsid w:val="007623AE"/>
    <w:rsid w:val="00763062"/>
    <w:rsid w:val="00763973"/>
    <w:rsid w:val="00764269"/>
    <w:rsid w:val="00764F42"/>
    <w:rsid w:val="00765003"/>
    <w:rsid w:val="00765545"/>
    <w:rsid w:val="00770842"/>
    <w:rsid w:val="00770843"/>
    <w:rsid w:val="00770B19"/>
    <w:rsid w:val="00770BD2"/>
    <w:rsid w:val="0077243B"/>
    <w:rsid w:val="00774FA0"/>
    <w:rsid w:val="007759A1"/>
    <w:rsid w:val="00776620"/>
    <w:rsid w:val="00777457"/>
    <w:rsid w:val="00777B6D"/>
    <w:rsid w:val="00777ED1"/>
    <w:rsid w:val="007800D3"/>
    <w:rsid w:val="00781274"/>
    <w:rsid w:val="00784855"/>
    <w:rsid w:val="00784F39"/>
    <w:rsid w:val="00784F75"/>
    <w:rsid w:val="0078545C"/>
    <w:rsid w:val="007875F6"/>
    <w:rsid w:val="00787850"/>
    <w:rsid w:val="007906C4"/>
    <w:rsid w:val="00793AB8"/>
    <w:rsid w:val="007940EA"/>
    <w:rsid w:val="007950B1"/>
    <w:rsid w:val="007967E8"/>
    <w:rsid w:val="007A1D8E"/>
    <w:rsid w:val="007A40C1"/>
    <w:rsid w:val="007A6398"/>
    <w:rsid w:val="007A63F2"/>
    <w:rsid w:val="007A75C2"/>
    <w:rsid w:val="007A76A1"/>
    <w:rsid w:val="007A78B9"/>
    <w:rsid w:val="007B0961"/>
    <w:rsid w:val="007B0F75"/>
    <w:rsid w:val="007B29D3"/>
    <w:rsid w:val="007B3A67"/>
    <w:rsid w:val="007B68DE"/>
    <w:rsid w:val="007C1848"/>
    <w:rsid w:val="007C1857"/>
    <w:rsid w:val="007C3804"/>
    <w:rsid w:val="007C514F"/>
    <w:rsid w:val="007C72DD"/>
    <w:rsid w:val="007C74E1"/>
    <w:rsid w:val="007C7541"/>
    <w:rsid w:val="007D0980"/>
    <w:rsid w:val="007D0A35"/>
    <w:rsid w:val="007D0F95"/>
    <w:rsid w:val="007D1E54"/>
    <w:rsid w:val="007D204E"/>
    <w:rsid w:val="007D47F3"/>
    <w:rsid w:val="007D6649"/>
    <w:rsid w:val="007D6682"/>
    <w:rsid w:val="007D6BBA"/>
    <w:rsid w:val="007D7ECB"/>
    <w:rsid w:val="007E25A1"/>
    <w:rsid w:val="007E4BD2"/>
    <w:rsid w:val="007E60FA"/>
    <w:rsid w:val="007E6538"/>
    <w:rsid w:val="007E7145"/>
    <w:rsid w:val="007F2199"/>
    <w:rsid w:val="007F3916"/>
    <w:rsid w:val="007F44A8"/>
    <w:rsid w:val="007F4EDB"/>
    <w:rsid w:val="007F532C"/>
    <w:rsid w:val="007F6517"/>
    <w:rsid w:val="007F75E9"/>
    <w:rsid w:val="008007E5"/>
    <w:rsid w:val="00800E88"/>
    <w:rsid w:val="00801005"/>
    <w:rsid w:val="00801179"/>
    <w:rsid w:val="008014E6"/>
    <w:rsid w:val="00801EDF"/>
    <w:rsid w:val="00802479"/>
    <w:rsid w:val="008039AF"/>
    <w:rsid w:val="00804B40"/>
    <w:rsid w:val="00805372"/>
    <w:rsid w:val="00805B7B"/>
    <w:rsid w:val="00806965"/>
    <w:rsid w:val="008071BE"/>
    <w:rsid w:val="00807CC7"/>
    <w:rsid w:val="00810137"/>
    <w:rsid w:val="00810D3A"/>
    <w:rsid w:val="008121D1"/>
    <w:rsid w:val="0081293E"/>
    <w:rsid w:val="00814FFB"/>
    <w:rsid w:val="00815C5F"/>
    <w:rsid w:val="0081652C"/>
    <w:rsid w:val="00816F43"/>
    <w:rsid w:val="0082033B"/>
    <w:rsid w:val="00820568"/>
    <w:rsid w:val="0082151C"/>
    <w:rsid w:val="00822079"/>
    <w:rsid w:val="008275CD"/>
    <w:rsid w:val="00831A80"/>
    <w:rsid w:val="00832573"/>
    <w:rsid w:val="008332C8"/>
    <w:rsid w:val="00833743"/>
    <w:rsid w:val="00833D8D"/>
    <w:rsid w:val="008340A4"/>
    <w:rsid w:val="00836270"/>
    <w:rsid w:val="00836799"/>
    <w:rsid w:val="00837028"/>
    <w:rsid w:val="00837131"/>
    <w:rsid w:val="00837858"/>
    <w:rsid w:val="00840B20"/>
    <w:rsid w:val="0084150F"/>
    <w:rsid w:val="00841F8B"/>
    <w:rsid w:val="00845F57"/>
    <w:rsid w:val="008467C1"/>
    <w:rsid w:val="008513AB"/>
    <w:rsid w:val="008514AA"/>
    <w:rsid w:val="008521AC"/>
    <w:rsid w:val="008521E0"/>
    <w:rsid w:val="008525B0"/>
    <w:rsid w:val="00853B2B"/>
    <w:rsid w:val="00854458"/>
    <w:rsid w:val="008575C9"/>
    <w:rsid w:val="0085783B"/>
    <w:rsid w:val="00860835"/>
    <w:rsid w:val="00861A95"/>
    <w:rsid w:val="008626B2"/>
    <w:rsid w:val="00865E05"/>
    <w:rsid w:val="00867CBC"/>
    <w:rsid w:val="00871538"/>
    <w:rsid w:val="00876C30"/>
    <w:rsid w:val="00877017"/>
    <w:rsid w:val="008773C0"/>
    <w:rsid w:val="008774FE"/>
    <w:rsid w:val="008775BE"/>
    <w:rsid w:val="00880364"/>
    <w:rsid w:val="008809F6"/>
    <w:rsid w:val="00882D2D"/>
    <w:rsid w:val="00884DE6"/>
    <w:rsid w:val="0088643F"/>
    <w:rsid w:val="00886C4C"/>
    <w:rsid w:val="00886D4F"/>
    <w:rsid w:val="0088711C"/>
    <w:rsid w:val="00887910"/>
    <w:rsid w:val="008908A7"/>
    <w:rsid w:val="00892ECF"/>
    <w:rsid w:val="00892F06"/>
    <w:rsid w:val="0089362A"/>
    <w:rsid w:val="008941BB"/>
    <w:rsid w:val="00894285"/>
    <w:rsid w:val="008A1B65"/>
    <w:rsid w:val="008A1C6A"/>
    <w:rsid w:val="008A2839"/>
    <w:rsid w:val="008A327E"/>
    <w:rsid w:val="008A33C6"/>
    <w:rsid w:val="008A40AE"/>
    <w:rsid w:val="008A4E19"/>
    <w:rsid w:val="008A67C5"/>
    <w:rsid w:val="008A7C7A"/>
    <w:rsid w:val="008A7F25"/>
    <w:rsid w:val="008B0868"/>
    <w:rsid w:val="008B0A64"/>
    <w:rsid w:val="008B126E"/>
    <w:rsid w:val="008B22E1"/>
    <w:rsid w:val="008B3078"/>
    <w:rsid w:val="008B3C78"/>
    <w:rsid w:val="008B4AE9"/>
    <w:rsid w:val="008B611B"/>
    <w:rsid w:val="008C29DD"/>
    <w:rsid w:val="008C30AD"/>
    <w:rsid w:val="008C4186"/>
    <w:rsid w:val="008C550D"/>
    <w:rsid w:val="008C77E5"/>
    <w:rsid w:val="008D068E"/>
    <w:rsid w:val="008D0F7A"/>
    <w:rsid w:val="008D138C"/>
    <w:rsid w:val="008D1C96"/>
    <w:rsid w:val="008D211E"/>
    <w:rsid w:val="008D2FAC"/>
    <w:rsid w:val="008D3BC8"/>
    <w:rsid w:val="008D4A2C"/>
    <w:rsid w:val="008D4C65"/>
    <w:rsid w:val="008D4E6C"/>
    <w:rsid w:val="008D63BE"/>
    <w:rsid w:val="008D6CE3"/>
    <w:rsid w:val="008D75F6"/>
    <w:rsid w:val="008E01BE"/>
    <w:rsid w:val="008E0948"/>
    <w:rsid w:val="008E0CFF"/>
    <w:rsid w:val="008E0F12"/>
    <w:rsid w:val="008E15E1"/>
    <w:rsid w:val="008E16C1"/>
    <w:rsid w:val="008E199A"/>
    <w:rsid w:val="008E23AA"/>
    <w:rsid w:val="008E346B"/>
    <w:rsid w:val="008E3B50"/>
    <w:rsid w:val="008E5CC7"/>
    <w:rsid w:val="008E5D6B"/>
    <w:rsid w:val="008E6716"/>
    <w:rsid w:val="008E689B"/>
    <w:rsid w:val="008E76F0"/>
    <w:rsid w:val="008F098B"/>
    <w:rsid w:val="008F15FE"/>
    <w:rsid w:val="008F21E0"/>
    <w:rsid w:val="008F2A94"/>
    <w:rsid w:val="008F41D1"/>
    <w:rsid w:val="008F4623"/>
    <w:rsid w:val="008F5187"/>
    <w:rsid w:val="008F5A4F"/>
    <w:rsid w:val="008F65E7"/>
    <w:rsid w:val="008F6AE3"/>
    <w:rsid w:val="008F6BE3"/>
    <w:rsid w:val="008F6E2C"/>
    <w:rsid w:val="008F709C"/>
    <w:rsid w:val="008F744E"/>
    <w:rsid w:val="00900461"/>
    <w:rsid w:val="009007FA"/>
    <w:rsid w:val="0090312B"/>
    <w:rsid w:val="009033D4"/>
    <w:rsid w:val="00904724"/>
    <w:rsid w:val="00904961"/>
    <w:rsid w:val="00912802"/>
    <w:rsid w:val="00913CD3"/>
    <w:rsid w:val="00913EAC"/>
    <w:rsid w:val="00914701"/>
    <w:rsid w:val="00916580"/>
    <w:rsid w:val="0091736D"/>
    <w:rsid w:val="009210E4"/>
    <w:rsid w:val="009220A9"/>
    <w:rsid w:val="00925589"/>
    <w:rsid w:val="009269A5"/>
    <w:rsid w:val="00926B10"/>
    <w:rsid w:val="00927EDE"/>
    <w:rsid w:val="00931001"/>
    <w:rsid w:val="00931863"/>
    <w:rsid w:val="00932775"/>
    <w:rsid w:val="00933524"/>
    <w:rsid w:val="00934BD6"/>
    <w:rsid w:val="00935296"/>
    <w:rsid w:val="00935C82"/>
    <w:rsid w:val="009400B7"/>
    <w:rsid w:val="00940487"/>
    <w:rsid w:val="00940E8D"/>
    <w:rsid w:val="0094229F"/>
    <w:rsid w:val="0094278D"/>
    <w:rsid w:val="00943E25"/>
    <w:rsid w:val="00945E3A"/>
    <w:rsid w:val="00946A6B"/>
    <w:rsid w:val="0095308A"/>
    <w:rsid w:val="00955240"/>
    <w:rsid w:val="00955AEE"/>
    <w:rsid w:val="00955EF9"/>
    <w:rsid w:val="00955F16"/>
    <w:rsid w:val="0095626F"/>
    <w:rsid w:val="00956781"/>
    <w:rsid w:val="00956F14"/>
    <w:rsid w:val="0096051F"/>
    <w:rsid w:val="00961652"/>
    <w:rsid w:val="009618CC"/>
    <w:rsid w:val="00961C6B"/>
    <w:rsid w:val="009620FD"/>
    <w:rsid w:val="0096247A"/>
    <w:rsid w:val="00962D0B"/>
    <w:rsid w:val="00963415"/>
    <w:rsid w:val="00965B46"/>
    <w:rsid w:val="00965F4B"/>
    <w:rsid w:val="009660D1"/>
    <w:rsid w:val="0096662B"/>
    <w:rsid w:val="00966ED6"/>
    <w:rsid w:val="00967E1C"/>
    <w:rsid w:val="00970004"/>
    <w:rsid w:val="00970140"/>
    <w:rsid w:val="00970F8A"/>
    <w:rsid w:val="00971FB5"/>
    <w:rsid w:val="009725B6"/>
    <w:rsid w:val="00972D2A"/>
    <w:rsid w:val="00975089"/>
    <w:rsid w:val="00975CC5"/>
    <w:rsid w:val="00976328"/>
    <w:rsid w:val="00976B4E"/>
    <w:rsid w:val="00977138"/>
    <w:rsid w:val="00981222"/>
    <w:rsid w:val="00982079"/>
    <w:rsid w:val="00983872"/>
    <w:rsid w:val="00984458"/>
    <w:rsid w:val="00984CC0"/>
    <w:rsid w:val="00985283"/>
    <w:rsid w:val="0098565A"/>
    <w:rsid w:val="00987322"/>
    <w:rsid w:val="009878D4"/>
    <w:rsid w:val="00987E90"/>
    <w:rsid w:val="00991C7D"/>
    <w:rsid w:val="00993727"/>
    <w:rsid w:val="00993CE9"/>
    <w:rsid w:val="00997E6C"/>
    <w:rsid w:val="009A0F3B"/>
    <w:rsid w:val="009A1316"/>
    <w:rsid w:val="009A1A43"/>
    <w:rsid w:val="009A4CAB"/>
    <w:rsid w:val="009A5FE8"/>
    <w:rsid w:val="009A6AC2"/>
    <w:rsid w:val="009A72C7"/>
    <w:rsid w:val="009B0897"/>
    <w:rsid w:val="009B39AA"/>
    <w:rsid w:val="009B3ABC"/>
    <w:rsid w:val="009B4CE7"/>
    <w:rsid w:val="009B6872"/>
    <w:rsid w:val="009B68C9"/>
    <w:rsid w:val="009B752A"/>
    <w:rsid w:val="009C2087"/>
    <w:rsid w:val="009C2557"/>
    <w:rsid w:val="009C459B"/>
    <w:rsid w:val="009C5720"/>
    <w:rsid w:val="009C65E1"/>
    <w:rsid w:val="009D0852"/>
    <w:rsid w:val="009D1FBF"/>
    <w:rsid w:val="009D2784"/>
    <w:rsid w:val="009D2FA5"/>
    <w:rsid w:val="009D5FA3"/>
    <w:rsid w:val="009E1A41"/>
    <w:rsid w:val="009E365D"/>
    <w:rsid w:val="009E399C"/>
    <w:rsid w:val="009E43C1"/>
    <w:rsid w:val="009E6B6B"/>
    <w:rsid w:val="009E7E95"/>
    <w:rsid w:val="009F0224"/>
    <w:rsid w:val="009F0494"/>
    <w:rsid w:val="009F116F"/>
    <w:rsid w:val="009F329E"/>
    <w:rsid w:val="009F5FF8"/>
    <w:rsid w:val="009F753A"/>
    <w:rsid w:val="009F7ED3"/>
    <w:rsid w:val="00A03607"/>
    <w:rsid w:val="00A047FF"/>
    <w:rsid w:val="00A04FEF"/>
    <w:rsid w:val="00A0731C"/>
    <w:rsid w:val="00A1202A"/>
    <w:rsid w:val="00A122CD"/>
    <w:rsid w:val="00A12A32"/>
    <w:rsid w:val="00A13A5C"/>
    <w:rsid w:val="00A14248"/>
    <w:rsid w:val="00A14947"/>
    <w:rsid w:val="00A14E63"/>
    <w:rsid w:val="00A15182"/>
    <w:rsid w:val="00A15C7E"/>
    <w:rsid w:val="00A15D8A"/>
    <w:rsid w:val="00A16F16"/>
    <w:rsid w:val="00A178D4"/>
    <w:rsid w:val="00A23C57"/>
    <w:rsid w:val="00A23DC5"/>
    <w:rsid w:val="00A2444F"/>
    <w:rsid w:val="00A24534"/>
    <w:rsid w:val="00A30361"/>
    <w:rsid w:val="00A30674"/>
    <w:rsid w:val="00A30B91"/>
    <w:rsid w:val="00A32479"/>
    <w:rsid w:val="00A33C33"/>
    <w:rsid w:val="00A34028"/>
    <w:rsid w:val="00A3472E"/>
    <w:rsid w:val="00A352E9"/>
    <w:rsid w:val="00A35568"/>
    <w:rsid w:val="00A364B9"/>
    <w:rsid w:val="00A36685"/>
    <w:rsid w:val="00A36E02"/>
    <w:rsid w:val="00A37056"/>
    <w:rsid w:val="00A37D28"/>
    <w:rsid w:val="00A4140F"/>
    <w:rsid w:val="00A4358F"/>
    <w:rsid w:val="00A445F3"/>
    <w:rsid w:val="00A4476B"/>
    <w:rsid w:val="00A46608"/>
    <w:rsid w:val="00A46F67"/>
    <w:rsid w:val="00A5192C"/>
    <w:rsid w:val="00A54AA1"/>
    <w:rsid w:val="00A5684F"/>
    <w:rsid w:val="00A568FF"/>
    <w:rsid w:val="00A57CC5"/>
    <w:rsid w:val="00A60B11"/>
    <w:rsid w:val="00A60B65"/>
    <w:rsid w:val="00A61496"/>
    <w:rsid w:val="00A61833"/>
    <w:rsid w:val="00A624C6"/>
    <w:rsid w:val="00A63CEC"/>
    <w:rsid w:val="00A655FB"/>
    <w:rsid w:val="00A70232"/>
    <w:rsid w:val="00A702D3"/>
    <w:rsid w:val="00A7031E"/>
    <w:rsid w:val="00A728B1"/>
    <w:rsid w:val="00A74E1C"/>
    <w:rsid w:val="00A763DE"/>
    <w:rsid w:val="00A803D6"/>
    <w:rsid w:val="00A809C3"/>
    <w:rsid w:val="00A81078"/>
    <w:rsid w:val="00A8118F"/>
    <w:rsid w:val="00A81282"/>
    <w:rsid w:val="00A82C8E"/>
    <w:rsid w:val="00A84CFD"/>
    <w:rsid w:val="00A85A54"/>
    <w:rsid w:val="00A85F00"/>
    <w:rsid w:val="00A8713F"/>
    <w:rsid w:val="00A91167"/>
    <w:rsid w:val="00A91257"/>
    <w:rsid w:val="00A9171C"/>
    <w:rsid w:val="00A926A7"/>
    <w:rsid w:val="00A92FFD"/>
    <w:rsid w:val="00A94F12"/>
    <w:rsid w:val="00A95975"/>
    <w:rsid w:val="00A959F9"/>
    <w:rsid w:val="00A9708D"/>
    <w:rsid w:val="00AA00C7"/>
    <w:rsid w:val="00AA233E"/>
    <w:rsid w:val="00AA2C17"/>
    <w:rsid w:val="00AA3E0F"/>
    <w:rsid w:val="00AA4172"/>
    <w:rsid w:val="00AA617F"/>
    <w:rsid w:val="00AA751C"/>
    <w:rsid w:val="00AB1914"/>
    <w:rsid w:val="00AB5330"/>
    <w:rsid w:val="00AB5466"/>
    <w:rsid w:val="00AB6AD5"/>
    <w:rsid w:val="00AB6FD0"/>
    <w:rsid w:val="00AB7747"/>
    <w:rsid w:val="00AC14AB"/>
    <w:rsid w:val="00AC2532"/>
    <w:rsid w:val="00AC4030"/>
    <w:rsid w:val="00AC6930"/>
    <w:rsid w:val="00AC7E84"/>
    <w:rsid w:val="00AD0756"/>
    <w:rsid w:val="00AD1507"/>
    <w:rsid w:val="00AD26DC"/>
    <w:rsid w:val="00AD3366"/>
    <w:rsid w:val="00AD35A2"/>
    <w:rsid w:val="00AD36B6"/>
    <w:rsid w:val="00AD38B3"/>
    <w:rsid w:val="00AD5A70"/>
    <w:rsid w:val="00AD738B"/>
    <w:rsid w:val="00AD7D16"/>
    <w:rsid w:val="00AE1BF4"/>
    <w:rsid w:val="00AE2D1C"/>
    <w:rsid w:val="00AE322A"/>
    <w:rsid w:val="00AE3D94"/>
    <w:rsid w:val="00AE5D71"/>
    <w:rsid w:val="00AE5D97"/>
    <w:rsid w:val="00AE6794"/>
    <w:rsid w:val="00AE67BA"/>
    <w:rsid w:val="00AE78D4"/>
    <w:rsid w:val="00AF16C7"/>
    <w:rsid w:val="00AF526F"/>
    <w:rsid w:val="00AF5501"/>
    <w:rsid w:val="00AF70B1"/>
    <w:rsid w:val="00AF79AF"/>
    <w:rsid w:val="00B00AAE"/>
    <w:rsid w:val="00B01110"/>
    <w:rsid w:val="00B02262"/>
    <w:rsid w:val="00B02C5F"/>
    <w:rsid w:val="00B03CEC"/>
    <w:rsid w:val="00B04EA9"/>
    <w:rsid w:val="00B050A9"/>
    <w:rsid w:val="00B061F0"/>
    <w:rsid w:val="00B067DC"/>
    <w:rsid w:val="00B074D2"/>
    <w:rsid w:val="00B11A52"/>
    <w:rsid w:val="00B1209F"/>
    <w:rsid w:val="00B12881"/>
    <w:rsid w:val="00B12AD0"/>
    <w:rsid w:val="00B22BA0"/>
    <w:rsid w:val="00B241F7"/>
    <w:rsid w:val="00B246BB"/>
    <w:rsid w:val="00B2494E"/>
    <w:rsid w:val="00B24F07"/>
    <w:rsid w:val="00B24F30"/>
    <w:rsid w:val="00B27016"/>
    <w:rsid w:val="00B3037C"/>
    <w:rsid w:val="00B31ABF"/>
    <w:rsid w:val="00B335AE"/>
    <w:rsid w:val="00B3757A"/>
    <w:rsid w:val="00B37CE1"/>
    <w:rsid w:val="00B40ACF"/>
    <w:rsid w:val="00B4269D"/>
    <w:rsid w:val="00B45684"/>
    <w:rsid w:val="00B46BAA"/>
    <w:rsid w:val="00B47CBF"/>
    <w:rsid w:val="00B50876"/>
    <w:rsid w:val="00B50B5F"/>
    <w:rsid w:val="00B53ECC"/>
    <w:rsid w:val="00B54128"/>
    <w:rsid w:val="00B551A2"/>
    <w:rsid w:val="00B55826"/>
    <w:rsid w:val="00B574B2"/>
    <w:rsid w:val="00B60426"/>
    <w:rsid w:val="00B622DD"/>
    <w:rsid w:val="00B632DA"/>
    <w:rsid w:val="00B63522"/>
    <w:rsid w:val="00B63FFD"/>
    <w:rsid w:val="00B65BC2"/>
    <w:rsid w:val="00B71165"/>
    <w:rsid w:val="00B734E4"/>
    <w:rsid w:val="00B75959"/>
    <w:rsid w:val="00B76EF5"/>
    <w:rsid w:val="00B76F1D"/>
    <w:rsid w:val="00B770EC"/>
    <w:rsid w:val="00B779BF"/>
    <w:rsid w:val="00B77D82"/>
    <w:rsid w:val="00B81E0D"/>
    <w:rsid w:val="00B822A1"/>
    <w:rsid w:val="00B83C52"/>
    <w:rsid w:val="00B85122"/>
    <w:rsid w:val="00B856C2"/>
    <w:rsid w:val="00B85C82"/>
    <w:rsid w:val="00B864FA"/>
    <w:rsid w:val="00B868B9"/>
    <w:rsid w:val="00B87603"/>
    <w:rsid w:val="00B87FFE"/>
    <w:rsid w:val="00B916BB"/>
    <w:rsid w:val="00B92A19"/>
    <w:rsid w:val="00B93F2F"/>
    <w:rsid w:val="00B94554"/>
    <w:rsid w:val="00B9544C"/>
    <w:rsid w:val="00B95A0E"/>
    <w:rsid w:val="00BA145F"/>
    <w:rsid w:val="00BA29E9"/>
    <w:rsid w:val="00BA5052"/>
    <w:rsid w:val="00BA5832"/>
    <w:rsid w:val="00BA648F"/>
    <w:rsid w:val="00BA6A68"/>
    <w:rsid w:val="00BA7797"/>
    <w:rsid w:val="00BA79BD"/>
    <w:rsid w:val="00BA7FCB"/>
    <w:rsid w:val="00BB220D"/>
    <w:rsid w:val="00BB28AA"/>
    <w:rsid w:val="00BB29EE"/>
    <w:rsid w:val="00BB3618"/>
    <w:rsid w:val="00BB5C95"/>
    <w:rsid w:val="00BC0C9E"/>
    <w:rsid w:val="00BC1345"/>
    <w:rsid w:val="00BC139A"/>
    <w:rsid w:val="00BC20DC"/>
    <w:rsid w:val="00BC2651"/>
    <w:rsid w:val="00BC32DC"/>
    <w:rsid w:val="00BC3898"/>
    <w:rsid w:val="00BC4296"/>
    <w:rsid w:val="00BC5561"/>
    <w:rsid w:val="00BC6386"/>
    <w:rsid w:val="00BD1B51"/>
    <w:rsid w:val="00BD1FDF"/>
    <w:rsid w:val="00BD47F6"/>
    <w:rsid w:val="00BD6872"/>
    <w:rsid w:val="00BE312D"/>
    <w:rsid w:val="00BE3FCA"/>
    <w:rsid w:val="00BE42CF"/>
    <w:rsid w:val="00BE4E2D"/>
    <w:rsid w:val="00BE5765"/>
    <w:rsid w:val="00BE6633"/>
    <w:rsid w:val="00BE6649"/>
    <w:rsid w:val="00BE71DA"/>
    <w:rsid w:val="00BF02AC"/>
    <w:rsid w:val="00BF2003"/>
    <w:rsid w:val="00BF3065"/>
    <w:rsid w:val="00BF5653"/>
    <w:rsid w:val="00BF56D9"/>
    <w:rsid w:val="00BF5CDF"/>
    <w:rsid w:val="00C02019"/>
    <w:rsid w:val="00C02828"/>
    <w:rsid w:val="00C0376E"/>
    <w:rsid w:val="00C0526B"/>
    <w:rsid w:val="00C05719"/>
    <w:rsid w:val="00C062F1"/>
    <w:rsid w:val="00C07428"/>
    <w:rsid w:val="00C075D8"/>
    <w:rsid w:val="00C0781E"/>
    <w:rsid w:val="00C10578"/>
    <w:rsid w:val="00C106EA"/>
    <w:rsid w:val="00C13E88"/>
    <w:rsid w:val="00C1468D"/>
    <w:rsid w:val="00C15667"/>
    <w:rsid w:val="00C16C7C"/>
    <w:rsid w:val="00C17D62"/>
    <w:rsid w:val="00C21FDC"/>
    <w:rsid w:val="00C24EE7"/>
    <w:rsid w:val="00C2596A"/>
    <w:rsid w:val="00C2702A"/>
    <w:rsid w:val="00C271BE"/>
    <w:rsid w:val="00C27425"/>
    <w:rsid w:val="00C31738"/>
    <w:rsid w:val="00C31983"/>
    <w:rsid w:val="00C328FE"/>
    <w:rsid w:val="00C33A05"/>
    <w:rsid w:val="00C33AF4"/>
    <w:rsid w:val="00C369CA"/>
    <w:rsid w:val="00C36AB5"/>
    <w:rsid w:val="00C3728A"/>
    <w:rsid w:val="00C3730B"/>
    <w:rsid w:val="00C4192D"/>
    <w:rsid w:val="00C42500"/>
    <w:rsid w:val="00C44074"/>
    <w:rsid w:val="00C4409D"/>
    <w:rsid w:val="00C455BE"/>
    <w:rsid w:val="00C50989"/>
    <w:rsid w:val="00C51E5F"/>
    <w:rsid w:val="00C61E4B"/>
    <w:rsid w:val="00C61F51"/>
    <w:rsid w:val="00C6202B"/>
    <w:rsid w:val="00C620AF"/>
    <w:rsid w:val="00C62E3A"/>
    <w:rsid w:val="00C64503"/>
    <w:rsid w:val="00C64A1F"/>
    <w:rsid w:val="00C64BFF"/>
    <w:rsid w:val="00C65E8A"/>
    <w:rsid w:val="00C671AA"/>
    <w:rsid w:val="00C70795"/>
    <w:rsid w:val="00C70A59"/>
    <w:rsid w:val="00C722EE"/>
    <w:rsid w:val="00C763C9"/>
    <w:rsid w:val="00C76514"/>
    <w:rsid w:val="00C7751B"/>
    <w:rsid w:val="00C77D46"/>
    <w:rsid w:val="00C80057"/>
    <w:rsid w:val="00C8014C"/>
    <w:rsid w:val="00C81CB3"/>
    <w:rsid w:val="00C82592"/>
    <w:rsid w:val="00C82C79"/>
    <w:rsid w:val="00C83714"/>
    <w:rsid w:val="00C84753"/>
    <w:rsid w:val="00C85154"/>
    <w:rsid w:val="00C85BE7"/>
    <w:rsid w:val="00C85CD8"/>
    <w:rsid w:val="00C91611"/>
    <w:rsid w:val="00C91A36"/>
    <w:rsid w:val="00C953E1"/>
    <w:rsid w:val="00C97CE2"/>
    <w:rsid w:val="00CA1993"/>
    <w:rsid w:val="00CA2D09"/>
    <w:rsid w:val="00CA3326"/>
    <w:rsid w:val="00CA3436"/>
    <w:rsid w:val="00CA3585"/>
    <w:rsid w:val="00CA39C9"/>
    <w:rsid w:val="00CA3D5A"/>
    <w:rsid w:val="00CA3FE7"/>
    <w:rsid w:val="00CA4371"/>
    <w:rsid w:val="00CA4C4F"/>
    <w:rsid w:val="00CA4C7C"/>
    <w:rsid w:val="00CA5C4A"/>
    <w:rsid w:val="00CA6D0B"/>
    <w:rsid w:val="00CA6D16"/>
    <w:rsid w:val="00CA6D60"/>
    <w:rsid w:val="00CA714C"/>
    <w:rsid w:val="00CA7947"/>
    <w:rsid w:val="00CB0183"/>
    <w:rsid w:val="00CB072E"/>
    <w:rsid w:val="00CB098B"/>
    <w:rsid w:val="00CB0A3E"/>
    <w:rsid w:val="00CB1C87"/>
    <w:rsid w:val="00CB1EA3"/>
    <w:rsid w:val="00CB2576"/>
    <w:rsid w:val="00CB2E41"/>
    <w:rsid w:val="00CB3C0F"/>
    <w:rsid w:val="00CB4F39"/>
    <w:rsid w:val="00CB4F66"/>
    <w:rsid w:val="00CB552C"/>
    <w:rsid w:val="00CB5954"/>
    <w:rsid w:val="00CB6A9E"/>
    <w:rsid w:val="00CC0169"/>
    <w:rsid w:val="00CC1B88"/>
    <w:rsid w:val="00CC2492"/>
    <w:rsid w:val="00CC27C7"/>
    <w:rsid w:val="00CC2DFA"/>
    <w:rsid w:val="00CC3549"/>
    <w:rsid w:val="00CC6181"/>
    <w:rsid w:val="00CD239F"/>
    <w:rsid w:val="00CD2417"/>
    <w:rsid w:val="00CD26CB"/>
    <w:rsid w:val="00CD2BCD"/>
    <w:rsid w:val="00CD35BC"/>
    <w:rsid w:val="00CD36AA"/>
    <w:rsid w:val="00CD3791"/>
    <w:rsid w:val="00CD65B0"/>
    <w:rsid w:val="00CD6DE9"/>
    <w:rsid w:val="00CD7470"/>
    <w:rsid w:val="00CD7AB0"/>
    <w:rsid w:val="00CE02CD"/>
    <w:rsid w:val="00CE10E9"/>
    <w:rsid w:val="00CE167D"/>
    <w:rsid w:val="00CE4836"/>
    <w:rsid w:val="00CE4F11"/>
    <w:rsid w:val="00CE6909"/>
    <w:rsid w:val="00CF10D7"/>
    <w:rsid w:val="00CF2641"/>
    <w:rsid w:val="00CF3036"/>
    <w:rsid w:val="00CF4B27"/>
    <w:rsid w:val="00CF6CC1"/>
    <w:rsid w:val="00CF7F3B"/>
    <w:rsid w:val="00D0072E"/>
    <w:rsid w:val="00D058C5"/>
    <w:rsid w:val="00D05C4B"/>
    <w:rsid w:val="00D1024E"/>
    <w:rsid w:val="00D1095D"/>
    <w:rsid w:val="00D115DE"/>
    <w:rsid w:val="00D122F9"/>
    <w:rsid w:val="00D12320"/>
    <w:rsid w:val="00D150A1"/>
    <w:rsid w:val="00D15727"/>
    <w:rsid w:val="00D16332"/>
    <w:rsid w:val="00D21443"/>
    <w:rsid w:val="00D22B49"/>
    <w:rsid w:val="00D231C9"/>
    <w:rsid w:val="00D243F7"/>
    <w:rsid w:val="00D24972"/>
    <w:rsid w:val="00D2515E"/>
    <w:rsid w:val="00D273BC"/>
    <w:rsid w:val="00D308ED"/>
    <w:rsid w:val="00D315A8"/>
    <w:rsid w:val="00D326AA"/>
    <w:rsid w:val="00D34DF3"/>
    <w:rsid w:val="00D358F6"/>
    <w:rsid w:val="00D36276"/>
    <w:rsid w:val="00D36F67"/>
    <w:rsid w:val="00D3718E"/>
    <w:rsid w:val="00D374F1"/>
    <w:rsid w:val="00D422E3"/>
    <w:rsid w:val="00D42D49"/>
    <w:rsid w:val="00D42E24"/>
    <w:rsid w:val="00D42F27"/>
    <w:rsid w:val="00D459DA"/>
    <w:rsid w:val="00D505DB"/>
    <w:rsid w:val="00D51FDB"/>
    <w:rsid w:val="00D52A3F"/>
    <w:rsid w:val="00D54782"/>
    <w:rsid w:val="00D54AF1"/>
    <w:rsid w:val="00D56178"/>
    <w:rsid w:val="00D56B1E"/>
    <w:rsid w:val="00D56CF0"/>
    <w:rsid w:val="00D56F5C"/>
    <w:rsid w:val="00D66769"/>
    <w:rsid w:val="00D66BCF"/>
    <w:rsid w:val="00D704B1"/>
    <w:rsid w:val="00D7051A"/>
    <w:rsid w:val="00D70B63"/>
    <w:rsid w:val="00D70B6B"/>
    <w:rsid w:val="00D72B92"/>
    <w:rsid w:val="00D72BFC"/>
    <w:rsid w:val="00D72D33"/>
    <w:rsid w:val="00D72ED4"/>
    <w:rsid w:val="00D73F61"/>
    <w:rsid w:val="00D754C0"/>
    <w:rsid w:val="00D76965"/>
    <w:rsid w:val="00D76DF2"/>
    <w:rsid w:val="00D776A2"/>
    <w:rsid w:val="00D801C4"/>
    <w:rsid w:val="00D82697"/>
    <w:rsid w:val="00D83560"/>
    <w:rsid w:val="00D90836"/>
    <w:rsid w:val="00D91162"/>
    <w:rsid w:val="00D93641"/>
    <w:rsid w:val="00D948E6"/>
    <w:rsid w:val="00D95896"/>
    <w:rsid w:val="00D95CC6"/>
    <w:rsid w:val="00D97942"/>
    <w:rsid w:val="00DA081E"/>
    <w:rsid w:val="00DA21D5"/>
    <w:rsid w:val="00DA2DA3"/>
    <w:rsid w:val="00DA491F"/>
    <w:rsid w:val="00DA5709"/>
    <w:rsid w:val="00DA6615"/>
    <w:rsid w:val="00DA76AE"/>
    <w:rsid w:val="00DA7D7F"/>
    <w:rsid w:val="00DB01C3"/>
    <w:rsid w:val="00DB0222"/>
    <w:rsid w:val="00DB1045"/>
    <w:rsid w:val="00DB181E"/>
    <w:rsid w:val="00DB1AD8"/>
    <w:rsid w:val="00DB1C7A"/>
    <w:rsid w:val="00DB2983"/>
    <w:rsid w:val="00DB343D"/>
    <w:rsid w:val="00DB5041"/>
    <w:rsid w:val="00DB5579"/>
    <w:rsid w:val="00DB5CFE"/>
    <w:rsid w:val="00DB71BA"/>
    <w:rsid w:val="00DB7C1D"/>
    <w:rsid w:val="00DC1562"/>
    <w:rsid w:val="00DC72A6"/>
    <w:rsid w:val="00DC7EF0"/>
    <w:rsid w:val="00DD2113"/>
    <w:rsid w:val="00DD265E"/>
    <w:rsid w:val="00DD4AAC"/>
    <w:rsid w:val="00DD57FD"/>
    <w:rsid w:val="00DD5BEF"/>
    <w:rsid w:val="00DD6155"/>
    <w:rsid w:val="00DD7C2F"/>
    <w:rsid w:val="00DD7E7E"/>
    <w:rsid w:val="00DE0509"/>
    <w:rsid w:val="00DE07A6"/>
    <w:rsid w:val="00DE0E2B"/>
    <w:rsid w:val="00DE141D"/>
    <w:rsid w:val="00DE1ED5"/>
    <w:rsid w:val="00DE32D6"/>
    <w:rsid w:val="00DE34F5"/>
    <w:rsid w:val="00DE7DCC"/>
    <w:rsid w:val="00DF0156"/>
    <w:rsid w:val="00DF0443"/>
    <w:rsid w:val="00DF1930"/>
    <w:rsid w:val="00DF3788"/>
    <w:rsid w:val="00DF4ABF"/>
    <w:rsid w:val="00DF4F43"/>
    <w:rsid w:val="00DF514A"/>
    <w:rsid w:val="00DF543E"/>
    <w:rsid w:val="00DF6B8B"/>
    <w:rsid w:val="00E00638"/>
    <w:rsid w:val="00E0275A"/>
    <w:rsid w:val="00E02ADF"/>
    <w:rsid w:val="00E0358D"/>
    <w:rsid w:val="00E0580C"/>
    <w:rsid w:val="00E05FC5"/>
    <w:rsid w:val="00E06327"/>
    <w:rsid w:val="00E0729D"/>
    <w:rsid w:val="00E13346"/>
    <w:rsid w:val="00E17453"/>
    <w:rsid w:val="00E17BC3"/>
    <w:rsid w:val="00E2064B"/>
    <w:rsid w:val="00E20764"/>
    <w:rsid w:val="00E21A72"/>
    <w:rsid w:val="00E21EB1"/>
    <w:rsid w:val="00E231BD"/>
    <w:rsid w:val="00E23E27"/>
    <w:rsid w:val="00E24D5F"/>
    <w:rsid w:val="00E25229"/>
    <w:rsid w:val="00E25239"/>
    <w:rsid w:val="00E26003"/>
    <w:rsid w:val="00E265B1"/>
    <w:rsid w:val="00E27088"/>
    <w:rsid w:val="00E275B0"/>
    <w:rsid w:val="00E276DE"/>
    <w:rsid w:val="00E301DF"/>
    <w:rsid w:val="00E312A9"/>
    <w:rsid w:val="00E31DDB"/>
    <w:rsid w:val="00E3469D"/>
    <w:rsid w:val="00E3514E"/>
    <w:rsid w:val="00E35FDE"/>
    <w:rsid w:val="00E36B78"/>
    <w:rsid w:val="00E37E9C"/>
    <w:rsid w:val="00E412D0"/>
    <w:rsid w:val="00E41FFC"/>
    <w:rsid w:val="00E42622"/>
    <w:rsid w:val="00E42B51"/>
    <w:rsid w:val="00E44047"/>
    <w:rsid w:val="00E46367"/>
    <w:rsid w:val="00E46B86"/>
    <w:rsid w:val="00E470B0"/>
    <w:rsid w:val="00E4752A"/>
    <w:rsid w:val="00E47CDB"/>
    <w:rsid w:val="00E5022A"/>
    <w:rsid w:val="00E51589"/>
    <w:rsid w:val="00E53AA3"/>
    <w:rsid w:val="00E56286"/>
    <w:rsid w:val="00E5658F"/>
    <w:rsid w:val="00E566BC"/>
    <w:rsid w:val="00E60982"/>
    <w:rsid w:val="00E60C8D"/>
    <w:rsid w:val="00E6162F"/>
    <w:rsid w:val="00E62638"/>
    <w:rsid w:val="00E62C14"/>
    <w:rsid w:val="00E6311B"/>
    <w:rsid w:val="00E63361"/>
    <w:rsid w:val="00E65631"/>
    <w:rsid w:val="00E65D97"/>
    <w:rsid w:val="00E67150"/>
    <w:rsid w:val="00E67EFD"/>
    <w:rsid w:val="00E702DC"/>
    <w:rsid w:val="00E7047D"/>
    <w:rsid w:val="00E71FC0"/>
    <w:rsid w:val="00E71FFB"/>
    <w:rsid w:val="00E72E9E"/>
    <w:rsid w:val="00E74484"/>
    <w:rsid w:val="00E74D76"/>
    <w:rsid w:val="00E766EB"/>
    <w:rsid w:val="00E7694B"/>
    <w:rsid w:val="00E76D1D"/>
    <w:rsid w:val="00E80206"/>
    <w:rsid w:val="00E806F8"/>
    <w:rsid w:val="00E80989"/>
    <w:rsid w:val="00E81ABA"/>
    <w:rsid w:val="00E82B1A"/>
    <w:rsid w:val="00E839E0"/>
    <w:rsid w:val="00E84676"/>
    <w:rsid w:val="00E849B6"/>
    <w:rsid w:val="00E86867"/>
    <w:rsid w:val="00E87752"/>
    <w:rsid w:val="00E8793B"/>
    <w:rsid w:val="00E90F81"/>
    <w:rsid w:val="00E916AE"/>
    <w:rsid w:val="00E9177E"/>
    <w:rsid w:val="00E91A6D"/>
    <w:rsid w:val="00E9242D"/>
    <w:rsid w:val="00EA0A6F"/>
    <w:rsid w:val="00EA11EA"/>
    <w:rsid w:val="00EA34F1"/>
    <w:rsid w:val="00EA5838"/>
    <w:rsid w:val="00EA5D8B"/>
    <w:rsid w:val="00EA69A8"/>
    <w:rsid w:val="00EA7B6D"/>
    <w:rsid w:val="00EB041C"/>
    <w:rsid w:val="00EB7452"/>
    <w:rsid w:val="00EC0A65"/>
    <w:rsid w:val="00EC4D85"/>
    <w:rsid w:val="00EC5874"/>
    <w:rsid w:val="00EC63B5"/>
    <w:rsid w:val="00EC7884"/>
    <w:rsid w:val="00ED18F2"/>
    <w:rsid w:val="00ED192D"/>
    <w:rsid w:val="00ED20CA"/>
    <w:rsid w:val="00ED30B4"/>
    <w:rsid w:val="00ED31F5"/>
    <w:rsid w:val="00EE0588"/>
    <w:rsid w:val="00EE1A61"/>
    <w:rsid w:val="00EE3712"/>
    <w:rsid w:val="00EE3A4F"/>
    <w:rsid w:val="00EE4B65"/>
    <w:rsid w:val="00EE510F"/>
    <w:rsid w:val="00EE5B80"/>
    <w:rsid w:val="00EE7185"/>
    <w:rsid w:val="00EF0540"/>
    <w:rsid w:val="00EF2418"/>
    <w:rsid w:val="00EF2759"/>
    <w:rsid w:val="00EF30C0"/>
    <w:rsid w:val="00EF3465"/>
    <w:rsid w:val="00EF45EB"/>
    <w:rsid w:val="00EF5099"/>
    <w:rsid w:val="00EF5E33"/>
    <w:rsid w:val="00EF7623"/>
    <w:rsid w:val="00F00075"/>
    <w:rsid w:val="00F0043E"/>
    <w:rsid w:val="00F00655"/>
    <w:rsid w:val="00F00CB0"/>
    <w:rsid w:val="00F06886"/>
    <w:rsid w:val="00F07822"/>
    <w:rsid w:val="00F07CE2"/>
    <w:rsid w:val="00F103F7"/>
    <w:rsid w:val="00F11D45"/>
    <w:rsid w:val="00F12DFD"/>
    <w:rsid w:val="00F1501C"/>
    <w:rsid w:val="00F15C95"/>
    <w:rsid w:val="00F22985"/>
    <w:rsid w:val="00F22E48"/>
    <w:rsid w:val="00F22E7D"/>
    <w:rsid w:val="00F23D50"/>
    <w:rsid w:val="00F241AB"/>
    <w:rsid w:val="00F24FC9"/>
    <w:rsid w:val="00F25F81"/>
    <w:rsid w:val="00F27A68"/>
    <w:rsid w:val="00F27B49"/>
    <w:rsid w:val="00F30202"/>
    <w:rsid w:val="00F31382"/>
    <w:rsid w:val="00F35655"/>
    <w:rsid w:val="00F35829"/>
    <w:rsid w:val="00F35988"/>
    <w:rsid w:val="00F37887"/>
    <w:rsid w:val="00F37AD6"/>
    <w:rsid w:val="00F415E2"/>
    <w:rsid w:val="00F4188A"/>
    <w:rsid w:val="00F42828"/>
    <w:rsid w:val="00F42868"/>
    <w:rsid w:val="00F442D0"/>
    <w:rsid w:val="00F44957"/>
    <w:rsid w:val="00F45113"/>
    <w:rsid w:val="00F462E5"/>
    <w:rsid w:val="00F465A7"/>
    <w:rsid w:val="00F46905"/>
    <w:rsid w:val="00F503E5"/>
    <w:rsid w:val="00F508EF"/>
    <w:rsid w:val="00F50B7C"/>
    <w:rsid w:val="00F5202D"/>
    <w:rsid w:val="00F52CF6"/>
    <w:rsid w:val="00F54246"/>
    <w:rsid w:val="00F54496"/>
    <w:rsid w:val="00F55D93"/>
    <w:rsid w:val="00F61097"/>
    <w:rsid w:val="00F63946"/>
    <w:rsid w:val="00F650D5"/>
    <w:rsid w:val="00F65298"/>
    <w:rsid w:val="00F66E64"/>
    <w:rsid w:val="00F67177"/>
    <w:rsid w:val="00F72E4B"/>
    <w:rsid w:val="00F74345"/>
    <w:rsid w:val="00F7438F"/>
    <w:rsid w:val="00F74441"/>
    <w:rsid w:val="00F7715A"/>
    <w:rsid w:val="00F77F30"/>
    <w:rsid w:val="00F808FC"/>
    <w:rsid w:val="00F810C9"/>
    <w:rsid w:val="00F82589"/>
    <w:rsid w:val="00F82B19"/>
    <w:rsid w:val="00F85F87"/>
    <w:rsid w:val="00F9012E"/>
    <w:rsid w:val="00F90AA7"/>
    <w:rsid w:val="00F9212D"/>
    <w:rsid w:val="00F94612"/>
    <w:rsid w:val="00F9606E"/>
    <w:rsid w:val="00F96674"/>
    <w:rsid w:val="00FA1D68"/>
    <w:rsid w:val="00FA301A"/>
    <w:rsid w:val="00FA406A"/>
    <w:rsid w:val="00FA5137"/>
    <w:rsid w:val="00FA5CB6"/>
    <w:rsid w:val="00FA7FC2"/>
    <w:rsid w:val="00FB1913"/>
    <w:rsid w:val="00FB2878"/>
    <w:rsid w:val="00FB5D00"/>
    <w:rsid w:val="00FC080B"/>
    <w:rsid w:val="00FC0A08"/>
    <w:rsid w:val="00FC2525"/>
    <w:rsid w:val="00FC444E"/>
    <w:rsid w:val="00FC45A3"/>
    <w:rsid w:val="00FC564B"/>
    <w:rsid w:val="00FC6092"/>
    <w:rsid w:val="00FC66AC"/>
    <w:rsid w:val="00FD0565"/>
    <w:rsid w:val="00FD18F4"/>
    <w:rsid w:val="00FD291B"/>
    <w:rsid w:val="00FD5EDF"/>
    <w:rsid w:val="00FD6EF7"/>
    <w:rsid w:val="00FD706B"/>
    <w:rsid w:val="00FD74B4"/>
    <w:rsid w:val="00FE65C0"/>
    <w:rsid w:val="00FE7B3C"/>
    <w:rsid w:val="00FF3D21"/>
    <w:rsid w:val="00FF4A85"/>
    <w:rsid w:val="00FF5D0A"/>
    <w:rsid w:val="00FF5D0F"/>
    <w:rsid w:val="00FF6FCE"/>
    <w:rsid w:val="00FF7518"/>
    <w:rsid w:val="00FF7FD8"/>
    <w:rsid w:val="010A45FD"/>
    <w:rsid w:val="01633E9B"/>
    <w:rsid w:val="01761E20"/>
    <w:rsid w:val="0179479E"/>
    <w:rsid w:val="017B7436"/>
    <w:rsid w:val="018C0E35"/>
    <w:rsid w:val="019127B6"/>
    <w:rsid w:val="019B3634"/>
    <w:rsid w:val="01AA6513"/>
    <w:rsid w:val="01C27B49"/>
    <w:rsid w:val="01D46B46"/>
    <w:rsid w:val="01D54D98"/>
    <w:rsid w:val="01D9415D"/>
    <w:rsid w:val="01F86CD9"/>
    <w:rsid w:val="01FD4015"/>
    <w:rsid w:val="020F5B76"/>
    <w:rsid w:val="022573A2"/>
    <w:rsid w:val="023150F8"/>
    <w:rsid w:val="023A4BFB"/>
    <w:rsid w:val="0247556A"/>
    <w:rsid w:val="02671768"/>
    <w:rsid w:val="027D2936"/>
    <w:rsid w:val="029B7DDF"/>
    <w:rsid w:val="029C12D5"/>
    <w:rsid w:val="02CB619B"/>
    <w:rsid w:val="02E70E77"/>
    <w:rsid w:val="02ED1C6E"/>
    <w:rsid w:val="02F05C02"/>
    <w:rsid w:val="02FA7BDB"/>
    <w:rsid w:val="030C5468"/>
    <w:rsid w:val="03104196"/>
    <w:rsid w:val="03192A63"/>
    <w:rsid w:val="03240870"/>
    <w:rsid w:val="03280EF8"/>
    <w:rsid w:val="03326C27"/>
    <w:rsid w:val="0335496B"/>
    <w:rsid w:val="03404493"/>
    <w:rsid w:val="035166A0"/>
    <w:rsid w:val="03634626"/>
    <w:rsid w:val="03960557"/>
    <w:rsid w:val="03B31109"/>
    <w:rsid w:val="03D746CC"/>
    <w:rsid w:val="03D90444"/>
    <w:rsid w:val="03F359AA"/>
    <w:rsid w:val="03FB03BA"/>
    <w:rsid w:val="04004EA5"/>
    <w:rsid w:val="04135DCE"/>
    <w:rsid w:val="042913CB"/>
    <w:rsid w:val="042B5143"/>
    <w:rsid w:val="0438616D"/>
    <w:rsid w:val="04536448"/>
    <w:rsid w:val="04695C6C"/>
    <w:rsid w:val="046C3066"/>
    <w:rsid w:val="048B1E85"/>
    <w:rsid w:val="04A722F0"/>
    <w:rsid w:val="04AB3B8E"/>
    <w:rsid w:val="04E43480"/>
    <w:rsid w:val="04E43544"/>
    <w:rsid w:val="05151950"/>
    <w:rsid w:val="052F47D5"/>
    <w:rsid w:val="054F6C10"/>
    <w:rsid w:val="05742AC8"/>
    <w:rsid w:val="05DB4947"/>
    <w:rsid w:val="05EA6938"/>
    <w:rsid w:val="06352F05"/>
    <w:rsid w:val="063E7D85"/>
    <w:rsid w:val="064424ED"/>
    <w:rsid w:val="06862B05"/>
    <w:rsid w:val="0696261C"/>
    <w:rsid w:val="06A32B3B"/>
    <w:rsid w:val="06A46DA3"/>
    <w:rsid w:val="06B53B71"/>
    <w:rsid w:val="06FD269B"/>
    <w:rsid w:val="070875E0"/>
    <w:rsid w:val="07222102"/>
    <w:rsid w:val="07293586"/>
    <w:rsid w:val="07295285"/>
    <w:rsid w:val="072C09E5"/>
    <w:rsid w:val="073267E9"/>
    <w:rsid w:val="07446E3A"/>
    <w:rsid w:val="07770C56"/>
    <w:rsid w:val="07B471FE"/>
    <w:rsid w:val="07C5140B"/>
    <w:rsid w:val="07EF6488"/>
    <w:rsid w:val="083D71F3"/>
    <w:rsid w:val="08536A17"/>
    <w:rsid w:val="08BB3074"/>
    <w:rsid w:val="08CE42EF"/>
    <w:rsid w:val="08D45F32"/>
    <w:rsid w:val="08E41D65"/>
    <w:rsid w:val="09093579"/>
    <w:rsid w:val="090E0B90"/>
    <w:rsid w:val="0913264A"/>
    <w:rsid w:val="091B43A8"/>
    <w:rsid w:val="09216B15"/>
    <w:rsid w:val="092217DD"/>
    <w:rsid w:val="092D54BA"/>
    <w:rsid w:val="093A7294"/>
    <w:rsid w:val="09600D38"/>
    <w:rsid w:val="09704CA9"/>
    <w:rsid w:val="09731054"/>
    <w:rsid w:val="097F1A8E"/>
    <w:rsid w:val="09A45050"/>
    <w:rsid w:val="09FC6F64"/>
    <w:rsid w:val="0A165F4E"/>
    <w:rsid w:val="0A177DFD"/>
    <w:rsid w:val="0A2A5245"/>
    <w:rsid w:val="0A357927"/>
    <w:rsid w:val="0A3B3C06"/>
    <w:rsid w:val="0A7964DD"/>
    <w:rsid w:val="0A820A57"/>
    <w:rsid w:val="0A960E3D"/>
    <w:rsid w:val="0AB85257"/>
    <w:rsid w:val="0ACE05D7"/>
    <w:rsid w:val="0AD656DD"/>
    <w:rsid w:val="0AE53B72"/>
    <w:rsid w:val="0AEB73DB"/>
    <w:rsid w:val="0B146C72"/>
    <w:rsid w:val="0B212DFC"/>
    <w:rsid w:val="0B2D7384"/>
    <w:rsid w:val="0B2D79F3"/>
    <w:rsid w:val="0B6131F9"/>
    <w:rsid w:val="0B6D4294"/>
    <w:rsid w:val="0B837613"/>
    <w:rsid w:val="0B957346"/>
    <w:rsid w:val="0BA37CB5"/>
    <w:rsid w:val="0BBC4BFC"/>
    <w:rsid w:val="0BC61450"/>
    <w:rsid w:val="0BD27BF6"/>
    <w:rsid w:val="0BDE4E94"/>
    <w:rsid w:val="0C2801BA"/>
    <w:rsid w:val="0C4B53D8"/>
    <w:rsid w:val="0C8278CB"/>
    <w:rsid w:val="0C915D60"/>
    <w:rsid w:val="0CD345CA"/>
    <w:rsid w:val="0CE42333"/>
    <w:rsid w:val="0D1F511A"/>
    <w:rsid w:val="0D3F3A0E"/>
    <w:rsid w:val="0D4252AC"/>
    <w:rsid w:val="0D6B4803"/>
    <w:rsid w:val="0D9755F8"/>
    <w:rsid w:val="0DA90E87"/>
    <w:rsid w:val="0DBC5AEC"/>
    <w:rsid w:val="0DBF06AB"/>
    <w:rsid w:val="0DC61A39"/>
    <w:rsid w:val="0DD00B0A"/>
    <w:rsid w:val="0E110D06"/>
    <w:rsid w:val="0E1A590B"/>
    <w:rsid w:val="0E2F3A82"/>
    <w:rsid w:val="0E2F5830"/>
    <w:rsid w:val="0E364E11"/>
    <w:rsid w:val="0E5D7530"/>
    <w:rsid w:val="0E6354DA"/>
    <w:rsid w:val="0E651252"/>
    <w:rsid w:val="0E772D33"/>
    <w:rsid w:val="0E7B0752"/>
    <w:rsid w:val="0E7B6CC7"/>
    <w:rsid w:val="0E811E04"/>
    <w:rsid w:val="0E87566C"/>
    <w:rsid w:val="0E9733D5"/>
    <w:rsid w:val="0EDE2DB2"/>
    <w:rsid w:val="0F021D00"/>
    <w:rsid w:val="0F13775A"/>
    <w:rsid w:val="0F1D7D7F"/>
    <w:rsid w:val="0F2E5AE8"/>
    <w:rsid w:val="0F3A26DF"/>
    <w:rsid w:val="0F7F00F1"/>
    <w:rsid w:val="0F81030D"/>
    <w:rsid w:val="0F917E25"/>
    <w:rsid w:val="0F931C1F"/>
    <w:rsid w:val="0F9811B3"/>
    <w:rsid w:val="0F9A112B"/>
    <w:rsid w:val="0F9C5147"/>
    <w:rsid w:val="0FA22032"/>
    <w:rsid w:val="0FA67D74"/>
    <w:rsid w:val="0FD04DF1"/>
    <w:rsid w:val="0FE10DAC"/>
    <w:rsid w:val="0FE8213B"/>
    <w:rsid w:val="0FFE370C"/>
    <w:rsid w:val="1004674F"/>
    <w:rsid w:val="100D280C"/>
    <w:rsid w:val="10172A20"/>
    <w:rsid w:val="10352EA6"/>
    <w:rsid w:val="10417A9D"/>
    <w:rsid w:val="106B4B1A"/>
    <w:rsid w:val="106D0892"/>
    <w:rsid w:val="106D2F64"/>
    <w:rsid w:val="108160EB"/>
    <w:rsid w:val="10A135AC"/>
    <w:rsid w:val="10B464C1"/>
    <w:rsid w:val="10B63710"/>
    <w:rsid w:val="10DA2908"/>
    <w:rsid w:val="11001706"/>
    <w:rsid w:val="110765F0"/>
    <w:rsid w:val="11166833"/>
    <w:rsid w:val="111C2F7A"/>
    <w:rsid w:val="111D5F75"/>
    <w:rsid w:val="113013DE"/>
    <w:rsid w:val="113B44EC"/>
    <w:rsid w:val="114F1D45"/>
    <w:rsid w:val="115F642C"/>
    <w:rsid w:val="11691059"/>
    <w:rsid w:val="11785740"/>
    <w:rsid w:val="11875983"/>
    <w:rsid w:val="11877731"/>
    <w:rsid w:val="11FD199C"/>
    <w:rsid w:val="11FD79F3"/>
    <w:rsid w:val="1202500A"/>
    <w:rsid w:val="121E5D7B"/>
    <w:rsid w:val="122B06C2"/>
    <w:rsid w:val="124B1D10"/>
    <w:rsid w:val="127664B3"/>
    <w:rsid w:val="12863E8D"/>
    <w:rsid w:val="12D76496"/>
    <w:rsid w:val="12E3308D"/>
    <w:rsid w:val="12E64FF5"/>
    <w:rsid w:val="12ED1816"/>
    <w:rsid w:val="130673CC"/>
    <w:rsid w:val="131E7C21"/>
    <w:rsid w:val="13280AA0"/>
    <w:rsid w:val="13596EAB"/>
    <w:rsid w:val="13653AA2"/>
    <w:rsid w:val="13741F37"/>
    <w:rsid w:val="137D2B9A"/>
    <w:rsid w:val="13951726"/>
    <w:rsid w:val="13CC58CF"/>
    <w:rsid w:val="13E13D82"/>
    <w:rsid w:val="13F13894"/>
    <w:rsid w:val="141777E1"/>
    <w:rsid w:val="142851FC"/>
    <w:rsid w:val="14396509"/>
    <w:rsid w:val="144162BD"/>
    <w:rsid w:val="1447165C"/>
    <w:rsid w:val="144F679D"/>
    <w:rsid w:val="14787805"/>
    <w:rsid w:val="14832DF5"/>
    <w:rsid w:val="148B12E6"/>
    <w:rsid w:val="149A59CD"/>
    <w:rsid w:val="149E0ABD"/>
    <w:rsid w:val="14B00D4D"/>
    <w:rsid w:val="14C03686"/>
    <w:rsid w:val="14E37374"/>
    <w:rsid w:val="15063063"/>
    <w:rsid w:val="150B7A60"/>
    <w:rsid w:val="15714980"/>
    <w:rsid w:val="15796186"/>
    <w:rsid w:val="159445C5"/>
    <w:rsid w:val="15B036FB"/>
    <w:rsid w:val="15C56B91"/>
    <w:rsid w:val="15D46F3B"/>
    <w:rsid w:val="15EA64E1"/>
    <w:rsid w:val="15EB4733"/>
    <w:rsid w:val="16005D04"/>
    <w:rsid w:val="161A575B"/>
    <w:rsid w:val="162A5428"/>
    <w:rsid w:val="163A2FC4"/>
    <w:rsid w:val="165423D5"/>
    <w:rsid w:val="165878EE"/>
    <w:rsid w:val="16664E01"/>
    <w:rsid w:val="166D6665"/>
    <w:rsid w:val="16734728"/>
    <w:rsid w:val="167504A0"/>
    <w:rsid w:val="1677417D"/>
    <w:rsid w:val="16A11295"/>
    <w:rsid w:val="16AD7C3A"/>
    <w:rsid w:val="16B8213B"/>
    <w:rsid w:val="16B94831"/>
    <w:rsid w:val="16D36F75"/>
    <w:rsid w:val="16F05D79"/>
    <w:rsid w:val="16F31C9B"/>
    <w:rsid w:val="1706559C"/>
    <w:rsid w:val="171750B3"/>
    <w:rsid w:val="171F6DB5"/>
    <w:rsid w:val="173E4D36"/>
    <w:rsid w:val="175E2CE2"/>
    <w:rsid w:val="17614E17"/>
    <w:rsid w:val="17735226"/>
    <w:rsid w:val="177E15D6"/>
    <w:rsid w:val="17944956"/>
    <w:rsid w:val="17DA4A7D"/>
    <w:rsid w:val="17E53404"/>
    <w:rsid w:val="17FD24FB"/>
    <w:rsid w:val="182D77D3"/>
    <w:rsid w:val="1833371D"/>
    <w:rsid w:val="184243B2"/>
    <w:rsid w:val="1844106E"/>
    <w:rsid w:val="18846779"/>
    <w:rsid w:val="188D694F"/>
    <w:rsid w:val="18AC5CCF"/>
    <w:rsid w:val="18B0756E"/>
    <w:rsid w:val="18B5797C"/>
    <w:rsid w:val="18E35B95"/>
    <w:rsid w:val="18E436BB"/>
    <w:rsid w:val="18F71640"/>
    <w:rsid w:val="19021497"/>
    <w:rsid w:val="19031D93"/>
    <w:rsid w:val="190A1374"/>
    <w:rsid w:val="190A3122"/>
    <w:rsid w:val="192B3002"/>
    <w:rsid w:val="194303E2"/>
    <w:rsid w:val="194523AC"/>
    <w:rsid w:val="194E3914"/>
    <w:rsid w:val="19524AC9"/>
    <w:rsid w:val="198033E4"/>
    <w:rsid w:val="19A33251"/>
    <w:rsid w:val="19C57049"/>
    <w:rsid w:val="19E33973"/>
    <w:rsid w:val="19F3275A"/>
    <w:rsid w:val="19F618F8"/>
    <w:rsid w:val="1A115971"/>
    <w:rsid w:val="1A18361C"/>
    <w:rsid w:val="1A1C66C0"/>
    <w:rsid w:val="1A42393B"/>
    <w:rsid w:val="1A496576"/>
    <w:rsid w:val="1A5C35C8"/>
    <w:rsid w:val="1A622AE9"/>
    <w:rsid w:val="1A6A2E2E"/>
    <w:rsid w:val="1AA41190"/>
    <w:rsid w:val="1AA9696A"/>
    <w:rsid w:val="1AAB4490"/>
    <w:rsid w:val="1AC11EED"/>
    <w:rsid w:val="1AC94917"/>
    <w:rsid w:val="1AD4481F"/>
    <w:rsid w:val="1B046F80"/>
    <w:rsid w:val="1B0B4F2F"/>
    <w:rsid w:val="1B3267B5"/>
    <w:rsid w:val="1B5F228F"/>
    <w:rsid w:val="1B612DA1"/>
    <w:rsid w:val="1B66485B"/>
    <w:rsid w:val="1B8F790E"/>
    <w:rsid w:val="1BB43819"/>
    <w:rsid w:val="1BC021BE"/>
    <w:rsid w:val="1BC25DC8"/>
    <w:rsid w:val="1C0F6CE7"/>
    <w:rsid w:val="1C2022D8"/>
    <w:rsid w:val="1C312457"/>
    <w:rsid w:val="1C322B9C"/>
    <w:rsid w:val="1C424981"/>
    <w:rsid w:val="1C4435C6"/>
    <w:rsid w:val="1C5E7925"/>
    <w:rsid w:val="1C632B49"/>
    <w:rsid w:val="1C84143D"/>
    <w:rsid w:val="1C887FC8"/>
    <w:rsid w:val="1C893960"/>
    <w:rsid w:val="1CAB4C1C"/>
    <w:rsid w:val="1CC57360"/>
    <w:rsid w:val="1CC61A56"/>
    <w:rsid w:val="1CC7132A"/>
    <w:rsid w:val="1D027990"/>
    <w:rsid w:val="1D063C00"/>
    <w:rsid w:val="1D175E0D"/>
    <w:rsid w:val="1D491D3F"/>
    <w:rsid w:val="1D5F6196"/>
    <w:rsid w:val="1D6132A5"/>
    <w:rsid w:val="1D655C57"/>
    <w:rsid w:val="1D864D41"/>
    <w:rsid w:val="1D8D4321"/>
    <w:rsid w:val="1D8E56D5"/>
    <w:rsid w:val="1D9A07EC"/>
    <w:rsid w:val="1DA578BD"/>
    <w:rsid w:val="1DBC7328"/>
    <w:rsid w:val="1DC3407B"/>
    <w:rsid w:val="1DC6338F"/>
    <w:rsid w:val="1DD144C6"/>
    <w:rsid w:val="1E1D38F7"/>
    <w:rsid w:val="1E206F43"/>
    <w:rsid w:val="1E45224C"/>
    <w:rsid w:val="1E4A2212"/>
    <w:rsid w:val="1E71779F"/>
    <w:rsid w:val="1E74728F"/>
    <w:rsid w:val="1E7A43DA"/>
    <w:rsid w:val="1E8C282B"/>
    <w:rsid w:val="1E9516DF"/>
    <w:rsid w:val="1EA2204E"/>
    <w:rsid w:val="1EB277FE"/>
    <w:rsid w:val="1EC27FFB"/>
    <w:rsid w:val="1ED03F93"/>
    <w:rsid w:val="1EFA1543"/>
    <w:rsid w:val="1EFF4DAB"/>
    <w:rsid w:val="1F010B23"/>
    <w:rsid w:val="1F2634C8"/>
    <w:rsid w:val="1F2C2A25"/>
    <w:rsid w:val="1F2D0225"/>
    <w:rsid w:val="1F374545"/>
    <w:rsid w:val="1F5F3A9B"/>
    <w:rsid w:val="1F6733F5"/>
    <w:rsid w:val="1F7A3833"/>
    <w:rsid w:val="1F9E6A51"/>
    <w:rsid w:val="1FC61D6D"/>
    <w:rsid w:val="1FE52AE8"/>
    <w:rsid w:val="1FE7539E"/>
    <w:rsid w:val="200A3A07"/>
    <w:rsid w:val="20120B0E"/>
    <w:rsid w:val="203171E6"/>
    <w:rsid w:val="204C4E74"/>
    <w:rsid w:val="206550E2"/>
    <w:rsid w:val="206F285C"/>
    <w:rsid w:val="206F41B2"/>
    <w:rsid w:val="207D067D"/>
    <w:rsid w:val="20963CB8"/>
    <w:rsid w:val="20AE4CDA"/>
    <w:rsid w:val="20B07FB6"/>
    <w:rsid w:val="21374CD0"/>
    <w:rsid w:val="213B74B1"/>
    <w:rsid w:val="21494A03"/>
    <w:rsid w:val="215A2310"/>
    <w:rsid w:val="219E4D4F"/>
    <w:rsid w:val="21A32365"/>
    <w:rsid w:val="21B005DE"/>
    <w:rsid w:val="21BA76AF"/>
    <w:rsid w:val="21DE318A"/>
    <w:rsid w:val="21EF5B80"/>
    <w:rsid w:val="21F77FBB"/>
    <w:rsid w:val="220B1D86"/>
    <w:rsid w:val="222A65E3"/>
    <w:rsid w:val="22576990"/>
    <w:rsid w:val="226118D9"/>
    <w:rsid w:val="229C4EAB"/>
    <w:rsid w:val="229D5007"/>
    <w:rsid w:val="22BD2FB3"/>
    <w:rsid w:val="22F4274D"/>
    <w:rsid w:val="22FF35CB"/>
    <w:rsid w:val="232B0864"/>
    <w:rsid w:val="23356FED"/>
    <w:rsid w:val="23522813"/>
    <w:rsid w:val="2369313B"/>
    <w:rsid w:val="23706277"/>
    <w:rsid w:val="23955CDE"/>
    <w:rsid w:val="23B343B6"/>
    <w:rsid w:val="23D77105"/>
    <w:rsid w:val="243E0123"/>
    <w:rsid w:val="245C4A4D"/>
    <w:rsid w:val="246D27B7"/>
    <w:rsid w:val="247022A7"/>
    <w:rsid w:val="24885842"/>
    <w:rsid w:val="24967F5F"/>
    <w:rsid w:val="249C4E4A"/>
    <w:rsid w:val="24CD14A7"/>
    <w:rsid w:val="24CF6FCD"/>
    <w:rsid w:val="24D9609E"/>
    <w:rsid w:val="24ED38F7"/>
    <w:rsid w:val="24F01070"/>
    <w:rsid w:val="25137802"/>
    <w:rsid w:val="252C1D4B"/>
    <w:rsid w:val="252D53FE"/>
    <w:rsid w:val="25397177"/>
    <w:rsid w:val="254C6870"/>
    <w:rsid w:val="257D4C7B"/>
    <w:rsid w:val="25A0096A"/>
    <w:rsid w:val="25B52667"/>
    <w:rsid w:val="25EC2D81"/>
    <w:rsid w:val="25F522F4"/>
    <w:rsid w:val="25FA2E59"/>
    <w:rsid w:val="25FE400E"/>
    <w:rsid w:val="261C4494"/>
    <w:rsid w:val="26243349"/>
    <w:rsid w:val="262C0A35"/>
    <w:rsid w:val="26345C82"/>
    <w:rsid w:val="263A491A"/>
    <w:rsid w:val="264528BD"/>
    <w:rsid w:val="265359DC"/>
    <w:rsid w:val="26541E80"/>
    <w:rsid w:val="2677249D"/>
    <w:rsid w:val="268169ED"/>
    <w:rsid w:val="2685203A"/>
    <w:rsid w:val="26A5448A"/>
    <w:rsid w:val="26B27ED4"/>
    <w:rsid w:val="26CA3EF0"/>
    <w:rsid w:val="26E33204"/>
    <w:rsid w:val="26F176CF"/>
    <w:rsid w:val="26F96584"/>
    <w:rsid w:val="270A69E3"/>
    <w:rsid w:val="27182EAE"/>
    <w:rsid w:val="271C4A6F"/>
    <w:rsid w:val="27321A96"/>
    <w:rsid w:val="275110AB"/>
    <w:rsid w:val="27840543"/>
    <w:rsid w:val="27A02EA3"/>
    <w:rsid w:val="27BD5803"/>
    <w:rsid w:val="27C13545"/>
    <w:rsid w:val="27CC5A46"/>
    <w:rsid w:val="27D15DD1"/>
    <w:rsid w:val="27E26D41"/>
    <w:rsid w:val="280763F6"/>
    <w:rsid w:val="282910EA"/>
    <w:rsid w:val="283F090E"/>
    <w:rsid w:val="28642123"/>
    <w:rsid w:val="28757E8C"/>
    <w:rsid w:val="289E73E3"/>
    <w:rsid w:val="28A76295"/>
    <w:rsid w:val="28B118DC"/>
    <w:rsid w:val="28BE5CD7"/>
    <w:rsid w:val="28D62336"/>
    <w:rsid w:val="28DA6C7F"/>
    <w:rsid w:val="28E05C4D"/>
    <w:rsid w:val="28E84B02"/>
    <w:rsid w:val="28EB63A0"/>
    <w:rsid w:val="28F634B4"/>
    <w:rsid w:val="29206EB8"/>
    <w:rsid w:val="29290382"/>
    <w:rsid w:val="29673C78"/>
    <w:rsid w:val="296F5223"/>
    <w:rsid w:val="29890093"/>
    <w:rsid w:val="2996630C"/>
    <w:rsid w:val="29A44ECD"/>
    <w:rsid w:val="29B669AE"/>
    <w:rsid w:val="29BB5D72"/>
    <w:rsid w:val="29C94933"/>
    <w:rsid w:val="29CB06AB"/>
    <w:rsid w:val="29DB6414"/>
    <w:rsid w:val="29E325E0"/>
    <w:rsid w:val="29FF72BC"/>
    <w:rsid w:val="2A0616E3"/>
    <w:rsid w:val="2A1D07DB"/>
    <w:rsid w:val="2A452503"/>
    <w:rsid w:val="2A4C2E6E"/>
    <w:rsid w:val="2A521023"/>
    <w:rsid w:val="2A607CD5"/>
    <w:rsid w:val="2A933CC8"/>
    <w:rsid w:val="2AC33130"/>
    <w:rsid w:val="2ACA2711"/>
    <w:rsid w:val="2AF7102C"/>
    <w:rsid w:val="2B011EAB"/>
    <w:rsid w:val="2B1B2F6C"/>
    <w:rsid w:val="2B2160A9"/>
    <w:rsid w:val="2B2B6F28"/>
    <w:rsid w:val="2B345DDC"/>
    <w:rsid w:val="2BA32F62"/>
    <w:rsid w:val="2BA936A8"/>
    <w:rsid w:val="2BB1567F"/>
    <w:rsid w:val="2BDA2E28"/>
    <w:rsid w:val="2BEB6DE3"/>
    <w:rsid w:val="2BEF4DB1"/>
    <w:rsid w:val="2C071AD7"/>
    <w:rsid w:val="2C315A5A"/>
    <w:rsid w:val="2C5C383D"/>
    <w:rsid w:val="2C9034E6"/>
    <w:rsid w:val="2C9F3729"/>
    <w:rsid w:val="2CAB0320"/>
    <w:rsid w:val="2CEC4B79"/>
    <w:rsid w:val="2D2105E2"/>
    <w:rsid w:val="2D26209C"/>
    <w:rsid w:val="2D3227EF"/>
    <w:rsid w:val="2D3E1194"/>
    <w:rsid w:val="2D3E73E6"/>
    <w:rsid w:val="2D6E5580"/>
    <w:rsid w:val="2D766B80"/>
    <w:rsid w:val="2D7B4196"/>
    <w:rsid w:val="2D7C1CBC"/>
    <w:rsid w:val="2D8172D3"/>
    <w:rsid w:val="2D9E56F5"/>
    <w:rsid w:val="2DF34125"/>
    <w:rsid w:val="2DFB52D7"/>
    <w:rsid w:val="2E401AFD"/>
    <w:rsid w:val="2E4E5407"/>
    <w:rsid w:val="2E5D389C"/>
    <w:rsid w:val="2E667F96"/>
    <w:rsid w:val="2E7924DB"/>
    <w:rsid w:val="2E8226AB"/>
    <w:rsid w:val="2EA43279"/>
    <w:rsid w:val="2EAB0AAB"/>
    <w:rsid w:val="2EC03AEE"/>
    <w:rsid w:val="2ED973C6"/>
    <w:rsid w:val="2EE47B19"/>
    <w:rsid w:val="2EF37D5C"/>
    <w:rsid w:val="2F416D1A"/>
    <w:rsid w:val="2F754E95"/>
    <w:rsid w:val="2F7B6D1C"/>
    <w:rsid w:val="2F81180C"/>
    <w:rsid w:val="2F832C79"/>
    <w:rsid w:val="2FAA2B11"/>
    <w:rsid w:val="2FC02334"/>
    <w:rsid w:val="2FC52567"/>
    <w:rsid w:val="2FC736C3"/>
    <w:rsid w:val="2FDB0F1C"/>
    <w:rsid w:val="2FEF2D58"/>
    <w:rsid w:val="2FF43D8C"/>
    <w:rsid w:val="301937F3"/>
    <w:rsid w:val="305321A4"/>
    <w:rsid w:val="30580BC9"/>
    <w:rsid w:val="305B02AF"/>
    <w:rsid w:val="30683D24"/>
    <w:rsid w:val="307A24E3"/>
    <w:rsid w:val="30816873"/>
    <w:rsid w:val="30AC28B9"/>
    <w:rsid w:val="30F46739"/>
    <w:rsid w:val="311E2ED7"/>
    <w:rsid w:val="315C449C"/>
    <w:rsid w:val="317F1D7B"/>
    <w:rsid w:val="31973569"/>
    <w:rsid w:val="31B82709"/>
    <w:rsid w:val="31D531C1"/>
    <w:rsid w:val="31ED3189"/>
    <w:rsid w:val="31EE13DB"/>
    <w:rsid w:val="31F43C4D"/>
    <w:rsid w:val="321B2412"/>
    <w:rsid w:val="322A618B"/>
    <w:rsid w:val="322F554F"/>
    <w:rsid w:val="323A4620"/>
    <w:rsid w:val="32400B34"/>
    <w:rsid w:val="324F39FF"/>
    <w:rsid w:val="32504DC9"/>
    <w:rsid w:val="326571C3"/>
    <w:rsid w:val="32715B68"/>
    <w:rsid w:val="329E6876"/>
    <w:rsid w:val="32B20E12"/>
    <w:rsid w:val="32C1089D"/>
    <w:rsid w:val="32DA370D"/>
    <w:rsid w:val="32EC3440"/>
    <w:rsid w:val="33026E2C"/>
    <w:rsid w:val="333A777A"/>
    <w:rsid w:val="334C4910"/>
    <w:rsid w:val="3355548A"/>
    <w:rsid w:val="335F3C12"/>
    <w:rsid w:val="336F02F9"/>
    <w:rsid w:val="336F654B"/>
    <w:rsid w:val="337B726A"/>
    <w:rsid w:val="33D934D4"/>
    <w:rsid w:val="33DB598F"/>
    <w:rsid w:val="33F0483B"/>
    <w:rsid w:val="33F64577"/>
    <w:rsid w:val="33FE2F6A"/>
    <w:rsid w:val="34015D57"/>
    <w:rsid w:val="34030A42"/>
    <w:rsid w:val="34394463"/>
    <w:rsid w:val="34605E94"/>
    <w:rsid w:val="348002E4"/>
    <w:rsid w:val="3482405C"/>
    <w:rsid w:val="348A1163"/>
    <w:rsid w:val="34AA7BB3"/>
    <w:rsid w:val="34B1049E"/>
    <w:rsid w:val="34B75CCA"/>
    <w:rsid w:val="34C401D1"/>
    <w:rsid w:val="34D81ECE"/>
    <w:rsid w:val="352E7D40"/>
    <w:rsid w:val="35337105"/>
    <w:rsid w:val="35352E7D"/>
    <w:rsid w:val="353A26DC"/>
    <w:rsid w:val="35441312"/>
    <w:rsid w:val="354D3F7D"/>
    <w:rsid w:val="35773495"/>
    <w:rsid w:val="357D72DF"/>
    <w:rsid w:val="359758E5"/>
    <w:rsid w:val="35A16764"/>
    <w:rsid w:val="35AD335B"/>
    <w:rsid w:val="35C92842"/>
    <w:rsid w:val="35CA5CBB"/>
    <w:rsid w:val="35CD1307"/>
    <w:rsid w:val="35FC3BC0"/>
    <w:rsid w:val="36074A7F"/>
    <w:rsid w:val="361F6C71"/>
    <w:rsid w:val="36923549"/>
    <w:rsid w:val="36A75FFC"/>
    <w:rsid w:val="36B75FBF"/>
    <w:rsid w:val="36E24BCA"/>
    <w:rsid w:val="36FB4891"/>
    <w:rsid w:val="36FF1994"/>
    <w:rsid w:val="370D413C"/>
    <w:rsid w:val="3714159B"/>
    <w:rsid w:val="37321D6A"/>
    <w:rsid w:val="374B4BD9"/>
    <w:rsid w:val="378400EB"/>
    <w:rsid w:val="37C60704"/>
    <w:rsid w:val="37C83A2B"/>
    <w:rsid w:val="37EB1F18"/>
    <w:rsid w:val="380A39D9"/>
    <w:rsid w:val="38190834"/>
    <w:rsid w:val="38374235"/>
    <w:rsid w:val="3872549A"/>
    <w:rsid w:val="387463B2"/>
    <w:rsid w:val="38A00F55"/>
    <w:rsid w:val="38EC7CF6"/>
    <w:rsid w:val="38F10C32"/>
    <w:rsid w:val="38F12CD3"/>
    <w:rsid w:val="38F8669B"/>
    <w:rsid w:val="38F94775"/>
    <w:rsid w:val="38FA68B7"/>
    <w:rsid w:val="38FB618B"/>
    <w:rsid w:val="390908A8"/>
    <w:rsid w:val="390A63CE"/>
    <w:rsid w:val="392971ED"/>
    <w:rsid w:val="392978D6"/>
    <w:rsid w:val="393F076E"/>
    <w:rsid w:val="394A0EC1"/>
    <w:rsid w:val="39622DE8"/>
    <w:rsid w:val="39837B1F"/>
    <w:rsid w:val="39846181"/>
    <w:rsid w:val="399860D0"/>
    <w:rsid w:val="39AD3929"/>
    <w:rsid w:val="39D709A6"/>
    <w:rsid w:val="39E11825"/>
    <w:rsid w:val="39E430C3"/>
    <w:rsid w:val="39E71ED4"/>
    <w:rsid w:val="39F350B4"/>
    <w:rsid w:val="3A000905"/>
    <w:rsid w:val="3A0B3122"/>
    <w:rsid w:val="3A2C09A1"/>
    <w:rsid w:val="3A3758E9"/>
    <w:rsid w:val="3A4818A4"/>
    <w:rsid w:val="3A63335F"/>
    <w:rsid w:val="3A797CAF"/>
    <w:rsid w:val="3AB17449"/>
    <w:rsid w:val="3ABE1B66"/>
    <w:rsid w:val="3ACA4067"/>
    <w:rsid w:val="3AD00B06"/>
    <w:rsid w:val="3AFA0DF0"/>
    <w:rsid w:val="3AFD3C43"/>
    <w:rsid w:val="3AFE1F63"/>
    <w:rsid w:val="3B1139DC"/>
    <w:rsid w:val="3B1E43B3"/>
    <w:rsid w:val="3B2A0FAA"/>
    <w:rsid w:val="3B3763D1"/>
    <w:rsid w:val="3B3D0CDD"/>
    <w:rsid w:val="3B5F2137"/>
    <w:rsid w:val="3BAA089E"/>
    <w:rsid w:val="3BB01B36"/>
    <w:rsid w:val="3BE7798D"/>
    <w:rsid w:val="3BEC625F"/>
    <w:rsid w:val="3BFF2436"/>
    <w:rsid w:val="3C0D06AF"/>
    <w:rsid w:val="3C0D6901"/>
    <w:rsid w:val="3C371BD0"/>
    <w:rsid w:val="3C605FC2"/>
    <w:rsid w:val="3C8F7316"/>
    <w:rsid w:val="3C90308E"/>
    <w:rsid w:val="3C91476B"/>
    <w:rsid w:val="3CA32DC2"/>
    <w:rsid w:val="3CAA23A2"/>
    <w:rsid w:val="3CB37024"/>
    <w:rsid w:val="3CC82828"/>
    <w:rsid w:val="3CDA245A"/>
    <w:rsid w:val="3CEE0A37"/>
    <w:rsid w:val="3D2959BD"/>
    <w:rsid w:val="3D385C00"/>
    <w:rsid w:val="3D405875"/>
    <w:rsid w:val="3D4F6AA6"/>
    <w:rsid w:val="3D8F1598"/>
    <w:rsid w:val="3DA05553"/>
    <w:rsid w:val="3DBF00CF"/>
    <w:rsid w:val="3DDA28A3"/>
    <w:rsid w:val="3DF80EEB"/>
    <w:rsid w:val="3E247F32"/>
    <w:rsid w:val="3E3C1720"/>
    <w:rsid w:val="3E4E0B39"/>
    <w:rsid w:val="3E6F5651"/>
    <w:rsid w:val="3E7F33BB"/>
    <w:rsid w:val="3E95498C"/>
    <w:rsid w:val="3ED656D0"/>
    <w:rsid w:val="3EDB2CE7"/>
    <w:rsid w:val="3EE020AB"/>
    <w:rsid w:val="3EE14075"/>
    <w:rsid w:val="3EF508F9"/>
    <w:rsid w:val="3EFD0EAF"/>
    <w:rsid w:val="3F00274D"/>
    <w:rsid w:val="3F080236"/>
    <w:rsid w:val="3F087854"/>
    <w:rsid w:val="3F373C95"/>
    <w:rsid w:val="3F3C36EC"/>
    <w:rsid w:val="3F660E74"/>
    <w:rsid w:val="3FB771CC"/>
    <w:rsid w:val="3FCF4037"/>
    <w:rsid w:val="3FF04570"/>
    <w:rsid w:val="3FFC1167"/>
    <w:rsid w:val="400B0113"/>
    <w:rsid w:val="404B79F8"/>
    <w:rsid w:val="40750F19"/>
    <w:rsid w:val="407A6407"/>
    <w:rsid w:val="40890521"/>
    <w:rsid w:val="409D2154"/>
    <w:rsid w:val="40C33A32"/>
    <w:rsid w:val="40CC0682"/>
    <w:rsid w:val="40DF5386"/>
    <w:rsid w:val="41232723"/>
    <w:rsid w:val="412344D1"/>
    <w:rsid w:val="412E52DE"/>
    <w:rsid w:val="413606A8"/>
    <w:rsid w:val="413E130B"/>
    <w:rsid w:val="418C6763"/>
    <w:rsid w:val="41D02BC7"/>
    <w:rsid w:val="41FD36BD"/>
    <w:rsid w:val="42012AEC"/>
    <w:rsid w:val="4202058A"/>
    <w:rsid w:val="423170C2"/>
    <w:rsid w:val="423553F5"/>
    <w:rsid w:val="4236601D"/>
    <w:rsid w:val="423A3BCC"/>
    <w:rsid w:val="42663905"/>
    <w:rsid w:val="426923B8"/>
    <w:rsid w:val="427E23AB"/>
    <w:rsid w:val="42813BA5"/>
    <w:rsid w:val="4283791D"/>
    <w:rsid w:val="42A31D6D"/>
    <w:rsid w:val="42A81132"/>
    <w:rsid w:val="42D23C0B"/>
    <w:rsid w:val="42EB101F"/>
    <w:rsid w:val="43394480"/>
    <w:rsid w:val="433A6FE6"/>
    <w:rsid w:val="435011B6"/>
    <w:rsid w:val="4350713C"/>
    <w:rsid w:val="436653E0"/>
    <w:rsid w:val="438F22F2"/>
    <w:rsid w:val="439C317A"/>
    <w:rsid w:val="43A5385B"/>
    <w:rsid w:val="43B835F7"/>
    <w:rsid w:val="43DB72E5"/>
    <w:rsid w:val="43E53CC0"/>
    <w:rsid w:val="43FA3C0F"/>
    <w:rsid w:val="43FE15AD"/>
    <w:rsid w:val="442318CF"/>
    <w:rsid w:val="44421112"/>
    <w:rsid w:val="444F3E0B"/>
    <w:rsid w:val="445175A7"/>
    <w:rsid w:val="447339C1"/>
    <w:rsid w:val="44817E8C"/>
    <w:rsid w:val="44AB14FB"/>
    <w:rsid w:val="44CD14E0"/>
    <w:rsid w:val="45330840"/>
    <w:rsid w:val="456D6663"/>
    <w:rsid w:val="45717F01"/>
    <w:rsid w:val="4582785D"/>
    <w:rsid w:val="458946E9"/>
    <w:rsid w:val="45FE550D"/>
    <w:rsid w:val="460074D7"/>
    <w:rsid w:val="461865CE"/>
    <w:rsid w:val="463B406B"/>
    <w:rsid w:val="46495D58"/>
    <w:rsid w:val="4651388E"/>
    <w:rsid w:val="46554460"/>
    <w:rsid w:val="46560EA5"/>
    <w:rsid w:val="468F013D"/>
    <w:rsid w:val="46C40504"/>
    <w:rsid w:val="46D955A7"/>
    <w:rsid w:val="46FC7C9E"/>
    <w:rsid w:val="470E352E"/>
    <w:rsid w:val="47133957"/>
    <w:rsid w:val="47342068"/>
    <w:rsid w:val="473F7B8B"/>
    <w:rsid w:val="474F32E8"/>
    <w:rsid w:val="47543636"/>
    <w:rsid w:val="4779329E"/>
    <w:rsid w:val="4799373F"/>
    <w:rsid w:val="47A07E0C"/>
    <w:rsid w:val="47B91E65"/>
    <w:rsid w:val="47C053E2"/>
    <w:rsid w:val="47CE1987"/>
    <w:rsid w:val="480D7C89"/>
    <w:rsid w:val="481728B6"/>
    <w:rsid w:val="48270BAA"/>
    <w:rsid w:val="48292103"/>
    <w:rsid w:val="482A25E9"/>
    <w:rsid w:val="483D231C"/>
    <w:rsid w:val="4847319B"/>
    <w:rsid w:val="4870272E"/>
    <w:rsid w:val="48895562"/>
    <w:rsid w:val="48965ED0"/>
    <w:rsid w:val="489B5295"/>
    <w:rsid w:val="48A028AB"/>
    <w:rsid w:val="48A4239B"/>
    <w:rsid w:val="48D32C81"/>
    <w:rsid w:val="48E05069"/>
    <w:rsid w:val="48EE56B4"/>
    <w:rsid w:val="490B241B"/>
    <w:rsid w:val="4920329F"/>
    <w:rsid w:val="49396F88"/>
    <w:rsid w:val="49507E2D"/>
    <w:rsid w:val="495737E5"/>
    <w:rsid w:val="497E0E3E"/>
    <w:rsid w:val="498D232B"/>
    <w:rsid w:val="49920446"/>
    <w:rsid w:val="49A87C69"/>
    <w:rsid w:val="49B22896"/>
    <w:rsid w:val="49DC7715"/>
    <w:rsid w:val="49E35145"/>
    <w:rsid w:val="49EA2030"/>
    <w:rsid w:val="4A0155CC"/>
    <w:rsid w:val="4A023139"/>
    <w:rsid w:val="4A314103"/>
    <w:rsid w:val="4A3F5B46"/>
    <w:rsid w:val="4A4636DF"/>
    <w:rsid w:val="4A484FA8"/>
    <w:rsid w:val="4A527BD5"/>
    <w:rsid w:val="4A7B576F"/>
    <w:rsid w:val="4A804742"/>
    <w:rsid w:val="4A8C758B"/>
    <w:rsid w:val="4A9B332A"/>
    <w:rsid w:val="4AAC19DB"/>
    <w:rsid w:val="4AC22FAD"/>
    <w:rsid w:val="4AE41175"/>
    <w:rsid w:val="4AE4609B"/>
    <w:rsid w:val="4AEE58DA"/>
    <w:rsid w:val="4B242FBC"/>
    <w:rsid w:val="4BB01057"/>
    <w:rsid w:val="4BB23021"/>
    <w:rsid w:val="4BB70638"/>
    <w:rsid w:val="4BBA3C84"/>
    <w:rsid w:val="4BC62629"/>
    <w:rsid w:val="4BC93EC7"/>
    <w:rsid w:val="4BCC664A"/>
    <w:rsid w:val="4BE331DB"/>
    <w:rsid w:val="4BE709AB"/>
    <w:rsid w:val="4C055D83"/>
    <w:rsid w:val="4C0630CD"/>
    <w:rsid w:val="4C196BFC"/>
    <w:rsid w:val="4C247A7E"/>
    <w:rsid w:val="4C251A45"/>
    <w:rsid w:val="4C4023DB"/>
    <w:rsid w:val="4C4A0649"/>
    <w:rsid w:val="4C52210E"/>
    <w:rsid w:val="4C63256E"/>
    <w:rsid w:val="4C657C03"/>
    <w:rsid w:val="4C7958ED"/>
    <w:rsid w:val="4C940979"/>
    <w:rsid w:val="4C9B1D07"/>
    <w:rsid w:val="4CDA1277"/>
    <w:rsid w:val="4CE470D3"/>
    <w:rsid w:val="4D135D42"/>
    <w:rsid w:val="4D183358"/>
    <w:rsid w:val="4D1D096E"/>
    <w:rsid w:val="4D31441A"/>
    <w:rsid w:val="4D341814"/>
    <w:rsid w:val="4D3D691B"/>
    <w:rsid w:val="4D5A3970"/>
    <w:rsid w:val="4D5B5C91"/>
    <w:rsid w:val="4D665E71"/>
    <w:rsid w:val="4D7E4A30"/>
    <w:rsid w:val="4D810EFD"/>
    <w:rsid w:val="4D844549"/>
    <w:rsid w:val="4D862070"/>
    <w:rsid w:val="4DBC0187"/>
    <w:rsid w:val="4DD51249"/>
    <w:rsid w:val="4DD728CB"/>
    <w:rsid w:val="4DE374C2"/>
    <w:rsid w:val="4DEC4FB0"/>
    <w:rsid w:val="4DF571F5"/>
    <w:rsid w:val="4E04568A"/>
    <w:rsid w:val="4E075D8A"/>
    <w:rsid w:val="4E2B2C17"/>
    <w:rsid w:val="4E2F0959"/>
    <w:rsid w:val="4E393586"/>
    <w:rsid w:val="4E3E0B9C"/>
    <w:rsid w:val="4E47135D"/>
    <w:rsid w:val="4E50267E"/>
    <w:rsid w:val="4E683E6B"/>
    <w:rsid w:val="4E690324"/>
    <w:rsid w:val="4E797E26"/>
    <w:rsid w:val="4E816CDB"/>
    <w:rsid w:val="4E854E8E"/>
    <w:rsid w:val="4E944C60"/>
    <w:rsid w:val="4E9569A3"/>
    <w:rsid w:val="4EA2112B"/>
    <w:rsid w:val="4ED57876"/>
    <w:rsid w:val="4EDE5EDB"/>
    <w:rsid w:val="4EF83441"/>
    <w:rsid w:val="4EFB4596"/>
    <w:rsid w:val="4F1162B1"/>
    <w:rsid w:val="4F7978D6"/>
    <w:rsid w:val="4F902D31"/>
    <w:rsid w:val="4FC62A8C"/>
    <w:rsid w:val="4FCB04A3"/>
    <w:rsid w:val="4FE20F0D"/>
    <w:rsid w:val="500D6A78"/>
    <w:rsid w:val="5038161B"/>
    <w:rsid w:val="50504C4B"/>
    <w:rsid w:val="50642410"/>
    <w:rsid w:val="50772173"/>
    <w:rsid w:val="507C59AC"/>
    <w:rsid w:val="50866035"/>
    <w:rsid w:val="509251CF"/>
    <w:rsid w:val="509A140C"/>
    <w:rsid w:val="509C6E7C"/>
    <w:rsid w:val="50CA763C"/>
    <w:rsid w:val="50CF2032"/>
    <w:rsid w:val="50D94BAC"/>
    <w:rsid w:val="50DB26D2"/>
    <w:rsid w:val="50EA4DE2"/>
    <w:rsid w:val="50EF2622"/>
    <w:rsid w:val="511076D1"/>
    <w:rsid w:val="51273B6A"/>
    <w:rsid w:val="51302CE8"/>
    <w:rsid w:val="513149E8"/>
    <w:rsid w:val="5162104E"/>
    <w:rsid w:val="51644E1D"/>
    <w:rsid w:val="51703A41"/>
    <w:rsid w:val="517B3EB5"/>
    <w:rsid w:val="51976F41"/>
    <w:rsid w:val="51A76A58"/>
    <w:rsid w:val="51CB11FC"/>
    <w:rsid w:val="51D276BD"/>
    <w:rsid w:val="520364C3"/>
    <w:rsid w:val="5234083F"/>
    <w:rsid w:val="524E5126"/>
    <w:rsid w:val="52642B9B"/>
    <w:rsid w:val="52B753C1"/>
    <w:rsid w:val="52E31D12"/>
    <w:rsid w:val="52E64AA7"/>
    <w:rsid w:val="52E8034B"/>
    <w:rsid w:val="530A729F"/>
    <w:rsid w:val="53285977"/>
    <w:rsid w:val="53364538"/>
    <w:rsid w:val="535A6478"/>
    <w:rsid w:val="539D45B7"/>
    <w:rsid w:val="53A039CC"/>
    <w:rsid w:val="53A1505A"/>
    <w:rsid w:val="53C056A2"/>
    <w:rsid w:val="53D31D87"/>
    <w:rsid w:val="53EB5FE8"/>
    <w:rsid w:val="54014B46"/>
    <w:rsid w:val="54063E08"/>
    <w:rsid w:val="54120B01"/>
    <w:rsid w:val="542B038A"/>
    <w:rsid w:val="543437E8"/>
    <w:rsid w:val="54363BCD"/>
    <w:rsid w:val="544B4013"/>
    <w:rsid w:val="5463135D"/>
    <w:rsid w:val="546724CF"/>
    <w:rsid w:val="54716A37"/>
    <w:rsid w:val="54866DF9"/>
    <w:rsid w:val="548968E9"/>
    <w:rsid w:val="54A11E85"/>
    <w:rsid w:val="54C17E31"/>
    <w:rsid w:val="54C618EB"/>
    <w:rsid w:val="54CA318A"/>
    <w:rsid w:val="54F00716"/>
    <w:rsid w:val="54F71AA5"/>
    <w:rsid w:val="552A1E7A"/>
    <w:rsid w:val="554F18E1"/>
    <w:rsid w:val="55676C2B"/>
    <w:rsid w:val="558D41B7"/>
    <w:rsid w:val="559B174B"/>
    <w:rsid w:val="55C67DF5"/>
    <w:rsid w:val="55CC4CE0"/>
    <w:rsid w:val="55CE0CF4"/>
    <w:rsid w:val="55D122F6"/>
    <w:rsid w:val="55F34962"/>
    <w:rsid w:val="55F60CBA"/>
    <w:rsid w:val="560426CB"/>
    <w:rsid w:val="5621327D"/>
    <w:rsid w:val="563665FD"/>
    <w:rsid w:val="56431446"/>
    <w:rsid w:val="568D0913"/>
    <w:rsid w:val="56AD4B11"/>
    <w:rsid w:val="56B22A9C"/>
    <w:rsid w:val="56C071AD"/>
    <w:rsid w:val="56E35A9D"/>
    <w:rsid w:val="570C5CDB"/>
    <w:rsid w:val="570D3802"/>
    <w:rsid w:val="571050A0"/>
    <w:rsid w:val="57203535"/>
    <w:rsid w:val="57222D48"/>
    <w:rsid w:val="57266671"/>
    <w:rsid w:val="573A2CFB"/>
    <w:rsid w:val="573C40E7"/>
    <w:rsid w:val="5783026B"/>
    <w:rsid w:val="57911D3D"/>
    <w:rsid w:val="57B679F5"/>
    <w:rsid w:val="57B72A76"/>
    <w:rsid w:val="57C06AC6"/>
    <w:rsid w:val="57C93BCD"/>
    <w:rsid w:val="58025FF2"/>
    <w:rsid w:val="58117322"/>
    <w:rsid w:val="583848AE"/>
    <w:rsid w:val="5847224F"/>
    <w:rsid w:val="58474AF1"/>
    <w:rsid w:val="585D5F90"/>
    <w:rsid w:val="586E4881"/>
    <w:rsid w:val="58711B6E"/>
    <w:rsid w:val="58843003"/>
    <w:rsid w:val="58847AF3"/>
    <w:rsid w:val="59205A6E"/>
    <w:rsid w:val="592A2449"/>
    <w:rsid w:val="59701E26"/>
    <w:rsid w:val="59771406"/>
    <w:rsid w:val="59A277F5"/>
    <w:rsid w:val="59A81AA1"/>
    <w:rsid w:val="59B77A55"/>
    <w:rsid w:val="59B85CA7"/>
    <w:rsid w:val="59BD6853"/>
    <w:rsid w:val="59C12681"/>
    <w:rsid w:val="59DE4FE1"/>
    <w:rsid w:val="5A022925"/>
    <w:rsid w:val="5A254BEC"/>
    <w:rsid w:val="5A296BA4"/>
    <w:rsid w:val="5A2A1BF2"/>
    <w:rsid w:val="5A386E33"/>
    <w:rsid w:val="5A3C747D"/>
    <w:rsid w:val="5A5654C0"/>
    <w:rsid w:val="5A6C4CE3"/>
    <w:rsid w:val="5A8E07B6"/>
    <w:rsid w:val="5A9B1124"/>
    <w:rsid w:val="5AA20705"/>
    <w:rsid w:val="5AA71877"/>
    <w:rsid w:val="5ABE2233"/>
    <w:rsid w:val="5B21162A"/>
    <w:rsid w:val="5B276D18"/>
    <w:rsid w:val="5B370E4D"/>
    <w:rsid w:val="5B555777"/>
    <w:rsid w:val="5B557525"/>
    <w:rsid w:val="5B5D5913"/>
    <w:rsid w:val="5B70610D"/>
    <w:rsid w:val="5B7756EE"/>
    <w:rsid w:val="5B9E0ECC"/>
    <w:rsid w:val="5BAA7871"/>
    <w:rsid w:val="5BC8419B"/>
    <w:rsid w:val="5BDC37A3"/>
    <w:rsid w:val="5BDF5D95"/>
    <w:rsid w:val="5BEC7F89"/>
    <w:rsid w:val="5C642116"/>
    <w:rsid w:val="5C6C4B26"/>
    <w:rsid w:val="5C7D3B22"/>
    <w:rsid w:val="5CA170AF"/>
    <w:rsid w:val="5CA51446"/>
    <w:rsid w:val="5CBD699C"/>
    <w:rsid w:val="5CC11316"/>
    <w:rsid w:val="5CC21F67"/>
    <w:rsid w:val="5CEE7C31"/>
    <w:rsid w:val="5CFF599B"/>
    <w:rsid w:val="5D174E5B"/>
    <w:rsid w:val="5D475B54"/>
    <w:rsid w:val="5D6725A8"/>
    <w:rsid w:val="5D7719D5"/>
    <w:rsid w:val="5D8440F2"/>
    <w:rsid w:val="5D9500AD"/>
    <w:rsid w:val="5D9562FF"/>
    <w:rsid w:val="5DB669A1"/>
    <w:rsid w:val="5DBB5D65"/>
    <w:rsid w:val="5DCD3CEB"/>
    <w:rsid w:val="5DE54B90"/>
    <w:rsid w:val="5DF87A0F"/>
    <w:rsid w:val="5E114D05"/>
    <w:rsid w:val="5E1524C9"/>
    <w:rsid w:val="5E3D2C1E"/>
    <w:rsid w:val="5E4A70E9"/>
    <w:rsid w:val="5E596C5B"/>
    <w:rsid w:val="5E6F4DA2"/>
    <w:rsid w:val="5E7C5A3D"/>
    <w:rsid w:val="5E801EED"/>
    <w:rsid w:val="5E824AD5"/>
    <w:rsid w:val="5E8819C0"/>
    <w:rsid w:val="5E8E5228"/>
    <w:rsid w:val="5E916AC6"/>
    <w:rsid w:val="5F1020E1"/>
    <w:rsid w:val="5F1A2B43"/>
    <w:rsid w:val="5F2931A3"/>
    <w:rsid w:val="5F68443A"/>
    <w:rsid w:val="5FB334E5"/>
    <w:rsid w:val="5FB837BB"/>
    <w:rsid w:val="5FD0361E"/>
    <w:rsid w:val="6002769D"/>
    <w:rsid w:val="6017749F"/>
    <w:rsid w:val="604E1113"/>
    <w:rsid w:val="605C4EB2"/>
    <w:rsid w:val="607641C6"/>
    <w:rsid w:val="60902CA0"/>
    <w:rsid w:val="60936B26"/>
    <w:rsid w:val="609B3C2C"/>
    <w:rsid w:val="60A26D69"/>
    <w:rsid w:val="60A50961"/>
    <w:rsid w:val="60C53E4A"/>
    <w:rsid w:val="60C76704"/>
    <w:rsid w:val="61113EEE"/>
    <w:rsid w:val="611475C1"/>
    <w:rsid w:val="61191503"/>
    <w:rsid w:val="611D2893"/>
    <w:rsid w:val="611F1075"/>
    <w:rsid w:val="612623FE"/>
    <w:rsid w:val="612C3031"/>
    <w:rsid w:val="613D2F35"/>
    <w:rsid w:val="618F19E3"/>
    <w:rsid w:val="61B72821"/>
    <w:rsid w:val="61CB0541"/>
    <w:rsid w:val="61D03DA9"/>
    <w:rsid w:val="61F061FA"/>
    <w:rsid w:val="6204297B"/>
    <w:rsid w:val="620D0B5A"/>
    <w:rsid w:val="620F6680"/>
    <w:rsid w:val="621F43E9"/>
    <w:rsid w:val="62257C51"/>
    <w:rsid w:val="622639C9"/>
    <w:rsid w:val="62364782"/>
    <w:rsid w:val="62643D53"/>
    <w:rsid w:val="62800B84"/>
    <w:rsid w:val="62A25746"/>
    <w:rsid w:val="62C52C6A"/>
    <w:rsid w:val="62DF2D7C"/>
    <w:rsid w:val="631B1054"/>
    <w:rsid w:val="635D78BF"/>
    <w:rsid w:val="63730E90"/>
    <w:rsid w:val="63D40BE9"/>
    <w:rsid w:val="63E0211F"/>
    <w:rsid w:val="64100E1B"/>
    <w:rsid w:val="64191A38"/>
    <w:rsid w:val="64195594"/>
    <w:rsid w:val="6430556D"/>
    <w:rsid w:val="646F3406"/>
    <w:rsid w:val="648A09B8"/>
    <w:rsid w:val="649D4417"/>
    <w:rsid w:val="64A84B6A"/>
    <w:rsid w:val="64BD6867"/>
    <w:rsid w:val="64D12312"/>
    <w:rsid w:val="64D4770D"/>
    <w:rsid w:val="65053D6A"/>
    <w:rsid w:val="6522491C"/>
    <w:rsid w:val="65373578"/>
    <w:rsid w:val="654F3A81"/>
    <w:rsid w:val="65536174"/>
    <w:rsid w:val="65705687"/>
    <w:rsid w:val="65C07C91"/>
    <w:rsid w:val="65D73958"/>
    <w:rsid w:val="65DA0D53"/>
    <w:rsid w:val="65FE0EE5"/>
    <w:rsid w:val="66065FEC"/>
    <w:rsid w:val="66067D9A"/>
    <w:rsid w:val="665C3E5E"/>
    <w:rsid w:val="668D2269"/>
    <w:rsid w:val="668D4017"/>
    <w:rsid w:val="66903B07"/>
    <w:rsid w:val="66954A48"/>
    <w:rsid w:val="66A4464C"/>
    <w:rsid w:val="66A7157D"/>
    <w:rsid w:val="66BC2B4E"/>
    <w:rsid w:val="66C0263F"/>
    <w:rsid w:val="66FE6CC3"/>
    <w:rsid w:val="67136D1B"/>
    <w:rsid w:val="673F2C7A"/>
    <w:rsid w:val="67430B7A"/>
    <w:rsid w:val="67481264"/>
    <w:rsid w:val="677671A1"/>
    <w:rsid w:val="677B0314"/>
    <w:rsid w:val="677F7E04"/>
    <w:rsid w:val="67812615"/>
    <w:rsid w:val="67852F40"/>
    <w:rsid w:val="67955879"/>
    <w:rsid w:val="67B30DBF"/>
    <w:rsid w:val="67C717AB"/>
    <w:rsid w:val="681F6961"/>
    <w:rsid w:val="682B1D3A"/>
    <w:rsid w:val="683C5CF5"/>
    <w:rsid w:val="68433624"/>
    <w:rsid w:val="68610A2F"/>
    <w:rsid w:val="686E3643"/>
    <w:rsid w:val="68805514"/>
    <w:rsid w:val="68C161FA"/>
    <w:rsid w:val="68DE4FFE"/>
    <w:rsid w:val="68F428D6"/>
    <w:rsid w:val="69004F74"/>
    <w:rsid w:val="691F31EE"/>
    <w:rsid w:val="69227BEA"/>
    <w:rsid w:val="69465203"/>
    <w:rsid w:val="694E2071"/>
    <w:rsid w:val="69513A22"/>
    <w:rsid w:val="695452C0"/>
    <w:rsid w:val="695B03FD"/>
    <w:rsid w:val="696279DD"/>
    <w:rsid w:val="696C60A7"/>
    <w:rsid w:val="697A3B33"/>
    <w:rsid w:val="698E2580"/>
    <w:rsid w:val="699E2456"/>
    <w:rsid w:val="69B31FE7"/>
    <w:rsid w:val="69B4059B"/>
    <w:rsid w:val="69D4452F"/>
    <w:rsid w:val="69E44896"/>
    <w:rsid w:val="69FD3262"/>
    <w:rsid w:val="6A0740E0"/>
    <w:rsid w:val="6A1A2066"/>
    <w:rsid w:val="6A1D3904"/>
    <w:rsid w:val="6A325601"/>
    <w:rsid w:val="6A333127"/>
    <w:rsid w:val="6A783485"/>
    <w:rsid w:val="6A7C4CBF"/>
    <w:rsid w:val="6A86594D"/>
    <w:rsid w:val="6AB84A5D"/>
    <w:rsid w:val="6AD136EC"/>
    <w:rsid w:val="6ADF2814"/>
    <w:rsid w:val="6B170353"/>
    <w:rsid w:val="6B251945"/>
    <w:rsid w:val="6B2C1649"/>
    <w:rsid w:val="6B322639"/>
    <w:rsid w:val="6B481D57"/>
    <w:rsid w:val="6B601CFA"/>
    <w:rsid w:val="6B7D5A96"/>
    <w:rsid w:val="6B84307A"/>
    <w:rsid w:val="6BCA3618"/>
    <w:rsid w:val="6BD314D2"/>
    <w:rsid w:val="6BF30DC0"/>
    <w:rsid w:val="6BF95CAB"/>
    <w:rsid w:val="6BFB42D8"/>
    <w:rsid w:val="6C007039"/>
    <w:rsid w:val="6C0E0FD1"/>
    <w:rsid w:val="6C1A459F"/>
    <w:rsid w:val="6C21592D"/>
    <w:rsid w:val="6C3E27AC"/>
    <w:rsid w:val="6C4038DA"/>
    <w:rsid w:val="6C53360D"/>
    <w:rsid w:val="6C636C38"/>
    <w:rsid w:val="6CB5074D"/>
    <w:rsid w:val="6CD7423E"/>
    <w:rsid w:val="6CE94D22"/>
    <w:rsid w:val="6D050DAB"/>
    <w:rsid w:val="6D08089B"/>
    <w:rsid w:val="6D1A237D"/>
    <w:rsid w:val="6D63442E"/>
    <w:rsid w:val="6D68651B"/>
    <w:rsid w:val="6D8A5754"/>
    <w:rsid w:val="6D995997"/>
    <w:rsid w:val="6D9B6260"/>
    <w:rsid w:val="6DA5433C"/>
    <w:rsid w:val="6DB34098"/>
    <w:rsid w:val="6DB545B6"/>
    <w:rsid w:val="6DCC7B1B"/>
    <w:rsid w:val="6DD43A8E"/>
    <w:rsid w:val="6DD54C21"/>
    <w:rsid w:val="6DE9247B"/>
    <w:rsid w:val="6E027099"/>
    <w:rsid w:val="6E05302D"/>
    <w:rsid w:val="6E080427"/>
    <w:rsid w:val="6E0948CB"/>
    <w:rsid w:val="6E2B3EB0"/>
    <w:rsid w:val="6E4375A0"/>
    <w:rsid w:val="6E514CED"/>
    <w:rsid w:val="6E5D0773"/>
    <w:rsid w:val="6E79491A"/>
    <w:rsid w:val="6E91666F"/>
    <w:rsid w:val="6E9377AF"/>
    <w:rsid w:val="6EB563D5"/>
    <w:rsid w:val="6EBF7C57"/>
    <w:rsid w:val="6ED94F6E"/>
    <w:rsid w:val="6EE60768"/>
    <w:rsid w:val="6EE63871"/>
    <w:rsid w:val="6EF42030"/>
    <w:rsid w:val="6EF8049C"/>
    <w:rsid w:val="6F0230C8"/>
    <w:rsid w:val="6F03756C"/>
    <w:rsid w:val="6F0E7CBF"/>
    <w:rsid w:val="6F103A37"/>
    <w:rsid w:val="6F225983"/>
    <w:rsid w:val="6F265009"/>
    <w:rsid w:val="6F5778B8"/>
    <w:rsid w:val="6F6B7AED"/>
    <w:rsid w:val="6F7915DC"/>
    <w:rsid w:val="6F8306AD"/>
    <w:rsid w:val="6F881820"/>
    <w:rsid w:val="6F975F07"/>
    <w:rsid w:val="6FC211D5"/>
    <w:rsid w:val="6FE54EC4"/>
    <w:rsid w:val="6FFC5590"/>
    <w:rsid w:val="70247AA1"/>
    <w:rsid w:val="702C2AF3"/>
    <w:rsid w:val="702D4E7B"/>
    <w:rsid w:val="70301DA3"/>
    <w:rsid w:val="70666005"/>
    <w:rsid w:val="706D1DD0"/>
    <w:rsid w:val="70856B87"/>
    <w:rsid w:val="70D527EE"/>
    <w:rsid w:val="70E35747"/>
    <w:rsid w:val="70E37655"/>
    <w:rsid w:val="70E46F2A"/>
    <w:rsid w:val="70F03B20"/>
    <w:rsid w:val="71066EA0"/>
    <w:rsid w:val="711D243B"/>
    <w:rsid w:val="712E4649"/>
    <w:rsid w:val="715B5300"/>
    <w:rsid w:val="715F4BD7"/>
    <w:rsid w:val="716C0A32"/>
    <w:rsid w:val="718B3849"/>
    <w:rsid w:val="71A1306D"/>
    <w:rsid w:val="71A861A9"/>
    <w:rsid w:val="71C34D91"/>
    <w:rsid w:val="71D27F8A"/>
    <w:rsid w:val="71D92806"/>
    <w:rsid w:val="71DE1BCB"/>
    <w:rsid w:val="71E74F23"/>
    <w:rsid w:val="71F744C6"/>
    <w:rsid w:val="71F960CF"/>
    <w:rsid w:val="72094E0A"/>
    <w:rsid w:val="72112045"/>
    <w:rsid w:val="72133F6A"/>
    <w:rsid w:val="721970A7"/>
    <w:rsid w:val="725453F3"/>
    <w:rsid w:val="727D3192"/>
    <w:rsid w:val="72833A7C"/>
    <w:rsid w:val="7285473C"/>
    <w:rsid w:val="728564EA"/>
    <w:rsid w:val="72897D89"/>
    <w:rsid w:val="729606F7"/>
    <w:rsid w:val="729B5D0E"/>
    <w:rsid w:val="72D1172F"/>
    <w:rsid w:val="72D8486C"/>
    <w:rsid w:val="72E94CCB"/>
    <w:rsid w:val="72F01BB6"/>
    <w:rsid w:val="731F5D5E"/>
    <w:rsid w:val="73214465"/>
    <w:rsid w:val="73410663"/>
    <w:rsid w:val="73724CC1"/>
    <w:rsid w:val="739160BD"/>
    <w:rsid w:val="73A22DA3"/>
    <w:rsid w:val="73A777C8"/>
    <w:rsid w:val="73AF5389"/>
    <w:rsid w:val="73B54BAD"/>
    <w:rsid w:val="73B61051"/>
    <w:rsid w:val="73BC5F3C"/>
    <w:rsid w:val="73C256CA"/>
    <w:rsid w:val="73E3171A"/>
    <w:rsid w:val="73EA125A"/>
    <w:rsid w:val="73F13E37"/>
    <w:rsid w:val="741E793C"/>
    <w:rsid w:val="742064CB"/>
    <w:rsid w:val="746F5C02"/>
    <w:rsid w:val="74793053"/>
    <w:rsid w:val="74D472B5"/>
    <w:rsid w:val="750239C2"/>
    <w:rsid w:val="75045DEC"/>
    <w:rsid w:val="756D3991"/>
    <w:rsid w:val="75752846"/>
    <w:rsid w:val="757C3BD5"/>
    <w:rsid w:val="758D75E2"/>
    <w:rsid w:val="75B710B1"/>
    <w:rsid w:val="75EE71E5"/>
    <w:rsid w:val="76293D63"/>
    <w:rsid w:val="762F0C47"/>
    <w:rsid w:val="764F12E9"/>
    <w:rsid w:val="76D417EE"/>
    <w:rsid w:val="76E97048"/>
    <w:rsid w:val="77297D8C"/>
    <w:rsid w:val="773109EF"/>
    <w:rsid w:val="773B361B"/>
    <w:rsid w:val="77642B72"/>
    <w:rsid w:val="77762421"/>
    <w:rsid w:val="77844B57"/>
    <w:rsid w:val="77980A6E"/>
    <w:rsid w:val="77C35AEB"/>
    <w:rsid w:val="77D46745"/>
    <w:rsid w:val="77E31545"/>
    <w:rsid w:val="77F008AA"/>
    <w:rsid w:val="780954C8"/>
    <w:rsid w:val="780E5319"/>
    <w:rsid w:val="780F09F4"/>
    <w:rsid w:val="782B18E2"/>
    <w:rsid w:val="784F3822"/>
    <w:rsid w:val="78511348"/>
    <w:rsid w:val="78526E6F"/>
    <w:rsid w:val="786D1EFA"/>
    <w:rsid w:val="7879264D"/>
    <w:rsid w:val="78792CC1"/>
    <w:rsid w:val="78857244"/>
    <w:rsid w:val="78886D34"/>
    <w:rsid w:val="789C4F47"/>
    <w:rsid w:val="78A90480"/>
    <w:rsid w:val="78AC47D1"/>
    <w:rsid w:val="78D12400"/>
    <w:rsid w:val="78E026CC"/>
    <w:rsid w:val="78E51A91"/>
    <w:rsid w:val="78E977D3"/>
    <w:rsid w:val="79312F28"/>
    <w:rsid w:val="79811327"/>
    <w:rsid w:val="798C63B0"/>
    <w:rsid w:val="799930EF"/>
    <w:rsid w:val="799A0ACD"/>
    <w:rsid w:val="799F60E4"/>
    <w:rsid w:val="79A436FA"/>
    <w:rsid w:val="79AB6B3A"/>
    <w:rsid w:val="79C45B4A"/>
    <w:rsid w:val="79D510B7"/>
    <w:rsid w:val="79E13D7A"/>
    <w:rsid w:val="79FF6B82"/>
    <w:rsid w:val="7A016D9E"/>
    <w:rsid w:val="7A0A5C53"/>
    <w:rsid w:val="7A364017"/>
    <w:rsid w:val="7A3F3423"/>
    <w:rsid w:val="7A454EDD"/>
    <w:rsid w:val="7A7E219D"/>
    <w:rsid w:val="7A8265E1"/>
    <w:rsid w:val="7A8D0632"/>
    <w:rsid w:val="7A8F7F06"/>
    <w:rsid w:val="7A9F54BE"/>
    <w:rsid w:val="7ABD2CC5"/>
    <w:rsid w:val="7AFD5018"/>
    <w:rsid w:val="7B1B5C3E"/>
    <w:rsid w:val="7B2A5E81"/>
    <w:rsid w:val="7B3D3E06"/>
    <w:rsid w:val="7B4011CA"/>
    <w:rsid w:val="7B503B39"/>
    <w:rsid w:val="7B5829EE"/>
    <w:rsid w:val="7B677A01"/>
    <w:rsid w:val="7B686D42"/>
    <w:rsid w:val="7B6E2211"/>
    <w:rsid w:val="7B841746"/>
    <w:rsid w:val="7B9D007C"/>
    <w:rsid w:val="7BA619AB"/>
    <w:rsid w:val="7BCD37FD"/>
    <w:rsid w:val="7BEC70C9"/>
    <w:rsid w:val="7C035604"/>
    <w:rsid w:val="7C064792"/>
    <w:rsid w:val="7C0E57A2"/>
    <w:rsid w:val="7C2154D6"/>
    <w:rsid w:val="7C38637B"/>
    <w:rsid w:val="7C3A6597"/>
    <w:rsid w:val="7C4E5B9F"/>
    <w:rsid w:val="7C570EF7"/>
    <w:rsid w:val="7C5807CC"/>
    <w:rsid w:val="7C605FFE"/>
    <w:rsid w:val="7C83018E"/>
    <w:rsid w:val="7C8F68E3"/>
    <w:rsid w:val="7C9537CE"/>
    <w:rsid w:val="7C9932BE"/>
    <w:rsid w:val="7CB71F00"/>
    <w:rsid w:val="7CC16371"/>
    <w:rsid w:val="7CC73618"/>
    <w:rsid w:val="7D0239FF"/>
    <w:rsid w:val="7D1961AD"/>
    <w:rsid w:val="7D1D3EEF"/>
    <w:rsid w:val="7D2A44AA"/>
    <w:rsid w:val="7D513085"/>
    <w:rsid w:val="7D5D42EC"/>
    <w:rsid w:val="7D5E40CD"/>
    <w:rsid w:val="7D60202E"/>
    <w:rsid w:val="7D693BED"/>
    <w:rsid w:val="7D9D0B8C"/>
    <w:rsid w:val="7DBA173E"/>
    <w:rsid w:val="7DC9372F"/>
    <w:rsid w:val="7DFC3B04"/>
    <w:rsid w:val="7E0429B9"/>
    <w:rsid w:val="7E176435"/>
    <w:rsid w:val="7E1C2865"/>
    <w:rsid w:val="7E325778"/>
    <w:rsid w:val="7E464D80"/>
    <w:rsid w:val="7E5356EF"/>
    <w:rsid w:val="7E594F53"/>
    <w:rsid w:val="7E676A7B"/>
    <w:rsid w:val="7E6D67B0"/>
    <w:rsid w:val="7E834226"/>
    <w:rsid w:val="7E8A55B4"/>
    <w:rsid w:val="7E90249F"/>
    <w:rsid w:val="7EB41C6A"/>
    <w:rsid w:val="7EB81D96"/>
    <w:rsid w:val="7EDB7BBE"/>
    <w:rsid w:val="7EE527EB"/>
    <w:rsid w:val="7EEF18BB"/>
    <w:rsid w:val="7EF649F8"/>
    <w:rsid w:val="7F0F1615"/>
    <w:rsid w:val="7F1044D2"/>
    <w:rsid w:val="7F151CF2"/>
    <w:rsid w:val="7F192494"/>
    <w:rsid w:val="7F211349"/>
    <w:rsid w:val="7F271055"/>
    <w:rsid w:val="7F2A46A1"/>
    <w:rsid w:val="7F6F0306"/>
    <w:rsid w:val="7F7676A4"/>
    <w:rsid w:val="7F9628E7"/>
    <w:rsid w:val="7FAF599E"/>
    <w:rsid w:val="7FB65F35"/>
    <w:rsid w:val="7FB673BB"/>
    <w:rsid w:val="7FD64829"/>
    <w:rsid w:val="7FE26D2A"/>
    <w:rsid w:val="7FE47E50"/>
    <w:rsid w:val="7FE74340"/>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20"/>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3"/>
    <w:basedOn w:val="1"/>
    <w:next w:val="1"/>
    <w:autoRedefine/>
    <w:qFormat/>
    <w:locked/>
    <w:uiPriority w:val="0"/>
    <w:pPr>
      <w:keepNext/>
      <w:keepLines/>
      <w:spacing w:before="60" w:after="60"/>
      <w:ind w:firstLine="0" w:firstLineChars="0"/>
      <w:outlineLvl w:val="2"/>
    </w:pPr>
    <w:rPr>
      <w:rFonts w:eastAsia="黑体"/>
    </w:rPr>
  </w:style>
  <w:style w:type="paragraph" w:styleId="7">
    <w:name w:val="heading 4"/>
    <w:basedOn w:val="1"/>
    <w:next w:val="1"/>
    <w:link w:val="23"/>
    <w:autoRedefine/>
    <w:qFormat/>
    <w:locked/>
    <w:uiPriority w:val="0"/>
    <w:pPr>
      <w:keepNext/>
      <w:keepLines/>
      <w:spacing w:before="280" w:after="290" w:line="376" w:lineRule="auto"/>
      <w:outlineLvl w:val="3"/>
    </w:pPr>
    <w:rPr>
      <w:rFonts w:ascii="等线 Light" w:hAnsi="等线 Light" w:eastAsia="等线 Light"/>
      <w:b/>
      <w:bCs/>
      <w:sz w:val="28"/>
      <w:szCs w:val="28"/>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40"/>
    <w:autoRedefine/>
    <w:qFormat/>
    <w:uiPriority w:val="0"/>
    <w:pPr>
      <w:adjustRightInd w:val="0"/>
      <w:snapToGrid w:val="0"/>
      <w:spacing w:line="240" w:lineRule="auto"/>
      <w:ind w:firstLine="0" w:firstLineChars="0"/>
    </w:pPr>
    <w:rPr>
      <w:rFonts w:ascii="宋体" w:hAnsi="宋体"/>
      <w:sz w:val="28"/>
    </w:rPr>
  </w:style>
  <w:style w:type="paragraph" w:customStyle="1" w:styleId="3">
    <w:name w:val="Normal (Web)1"/>
    <w:basedOn w:val="1"/>
    <w:next w:val="4"/>
    <w:autoRedefine/>
    <w:qFormat/>
    <w:uiPriority w:val="0"/>
    <w:pPr>
      <w:widowControl/>
      <w:jc w:val="left"/>
    </w:pPr>
    <w:rPr>
      <w:rFonts w:ascii="宋体" w:cs="Times New Roman"/>
      <w:kern w:val="0"/>
      <w:sz w:val="24"/>
      <w:szCs w:val="21"/>
    </w:rPr>
  </w:style>
  <w:style w:type="paragraph" w:customStyle="1" w:styleId="4">
    <w:name w:val="Date1"/>
    <w:basedOn w:val="1"/>
    <w:next w:val="1"/>
    <w:autoRedefine/>
    <w:qFormat/>
    <w:uiPriority w:val="0"/>
    <w:pPr>
      <w:ind w:left="2500" w:leftChars="2500"/>
    </w:pPr>
  </w:style>
  <w:style w:type="paragraph" w:styleId="8">
    <w:name w:val="annotation text"/>
    <w:basedOn w:val="1"/>
    <w:link w:val="24"/>
    <w:autoRedefine/>
    <w:qFormat/>
    <w:uiPriority w:val="0"/>
    <w:pPr>
      <w:jc w:val="left"/>
    </w:pPr>
  </w:style>
  <w:style w:type="paragraph" w:styleId="9">
    <w:name w:val="Balloon Text"/>
    <w:basedOn w:val="1"/>
    <w:link w:val="25"/>
    <w:autoRedefine/>
    <w:qFormat/>
    <w:uiPriority w:val="0"/>
    <w:pPr>
      <w:spacing w:line="240" w:lineRule="auto"/>
    </w:pPr>
    <w:rPr>
      <w:sz w:val="18"/>
      <w:szCs w:val="18"/>
    </w:rPr>
  </w:style>
  <w:style w:type="paragraph" w:styleId="10">
    <w:name w:val="footer"/>
    <w:basedOn w:val="1"/>
    <w:link w:val="26"/>
    <w:autoRedefine/>
    <w:qFormat/>
    <w:uiPriority w:val="0"/>
    <w:pPr>
      <w:tabs>
        <w:tab w:val="center" w:pos="4153"/>
        <w:tab w:val="right" w:pos="8306"/>
      </w:tabs>
      <w:snapToGrid w:val="0"/>
      <w:spacing w:line="240" w:lineRule="auto"/>
      <w:jc w:val="left"/>
    </w:pPr>
    <w:rPr>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jc w:val="center"/>
    </w:pPr>
    <w:rPr>
      <w:rFonts w:eastAsia="黑体"/>
      <w:sz w:val="21"/>
      <w:szCs w:val="21"/>
    </w:rPr>
  </w:style>
  <w:style w:type="paragraph" w:styleId="12">
    <w:name w:val="toc 1"/>
    <w:basedOn w:val="1"/>
    <w:next w:val="1"/>
    <w:autoRedefine/>
    <w:qFormat/>
    <w:uiPriority w:val="39"/>
  </w:style>
  <w:style w:type="paragraph" w:styleId="13">
    <w:name w:val="toc 2"/>
    <w:basedOn w:val="1"/>
    <w:next w:val="1"/>
    <w:autoRedefine/>
    <w:qFormat/>
    <w:locked/>
    <w:uiPriority w:val="0"/>
    <w:pPr>
      <w:ind w:left="420" w:leftChars="200"/>
    </w:pPr>
  </w:style>
  <w:style w:type="paragraph" w:styleId="14">
    <w:name w:val="Body Text First Indent"/>
    <w:basedOn w:val="2"/>
    <w:next w:val="1"/>
    <w:qFormat/>
    <w:uiPriority w:val="0"/>
    <w:pPr>
      <w:spacing w:after="120"/>
      <w:ind w:firstLine="420" w:firstLineChars="100"/>
    </w:pPr>
    <w:rPr>
      <w:rFonts w:ascii="Times New Roman" w:hAnsi="Times New Roman"/>
      <w:sz w:val="21"/>
      <w:szCs w:val="20"/>
    </w:rPr>
  </w:style>
  <w:style w:type="table" w:styleId="16">
    <w:name w:val="Table Grid"/>
    <w:basedOn w:val="1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autoRedefine/>
    <w:unhideWhenUsed/>
    <w:qFormat/>
    <w:uiPriority w:val="99"/>
    <w:rPr>
      <w:rFonts w:ascii="Times New Roman" w:hAnsi="Times New Roman" w:eastAsia="宋体"/>
      <w:color w:val="0563C1"/>
      <w:sz w:val="21"/>
      <w:szCs w:val="21"/>
      <w:u w:val="single"/>
    </w:rPr>
  </w:style>
  <w:style w:type="paragraph" w:customStyle="1" w:styleId="19">
    <w:name w:val="样式 标题 1 + 首行缩进:  2 字符"/>
    <w:basedOn w:val="5"/>
    <w:qFormat/>
    <w:uiPriority w:val="0"/>
    <w:pPr>
      <w:keepLines w:val="0"/>
      <w:spacing w:before="0" w:after="0" w:line="720" w:lineRule="auto"/>
      <w:ind w:firstLine="200" w:firstLineChars="200"/>
      <w:jc w:val="center"/>
    </w:pPr>
    <w:rPr>
      <w:rFonts w:ascii="黑体" w:eastAsia="黑体" w:cs="宋体"/>
      <w:kern w:val="2"/>
      <w:sz w:val="36"/>
      <w:szCs w:val="20"/>
    </w:rPr>
  </w:style>
  <w:style w:type="character" w:customStyle="1" w:styleId="20">
    <w:name w:val="标题 1 字符"/>
    <w:link w:val="5"/>
    <w:autoRedefine/>
    <w:qFormat/>
    <w:uiPriority w:val="0"/>
    <w:rPr>
      <w:rFonts w:eastAsia="黑体"/>
      <w:b/>
      <w:bCs/>
      <w:color w:val="000000"/>
      <w:kern w:val="44"/>
      <w:sz w:val="30"/>
      <w:szCs w:val="30"/>
    </w:rPr>
  </w:style>
  <w:style w:type="paragraph" w:customStyle="1" w:styleId="21">
    <w:name w:val="Default"/>
    <w:basedOn w:val="22"/>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2">
    <w:name w:val="纯文本1"/>
    <w:qFormat/>
    <w:uiPriority w:val="0"/>
    <w:pPr>
      <w:adjustRightInd w:val="0"/>
      <w:jc w:val="center"/>
      <w:textAlignment w:val="baseline"/>
    </w:pPr>
    <w:rPr>
      <w:rFonts w:ascii="宋体" w:hAnsi="Courier New" w:eastAsia="宋体" w:cs="Times New Roman"/>
      <w:sz w:val="24"/>
      <w:lang w:val="en-US" w:eastAsia="zh-CN" w:bidi="ar-SA"/>
    </w:rPr>
  </w:style>
  <w:style w:type="character" w:customStyle="1" w:styleId="23">
    <w:name w:val="标题 4 字符"/>
    <w:link w:val="7"/>
    <w:autoRedefine/>
    <w:semiHidden/>
    <w:qFormat/>
    <w:uiPriority w:val="0"/>
    <w:rPr>
      <w:rFonts w:ascii="等线 Light" w:hAnsi="等线 Light" w:eastAsia="等线 Light" w:cs="Times New Roman"/>
      <w:b/>
      <w:bCs/>
      <w:kern w:val="2"/>
      <w:sz w:val="28"/>
      <w:szCs w:val="28"/>
    </w:rPr>
  </w:style>
  <w:style w:type="character" w:customStyle="1" w:styleId="24">
    <w:name w:val="批注文字 字符"/>
    <w:link w:val="8"/>
    <w:autoRedefine/>
    <w:qFormat/>
    <w:uiPriority w:val="0"/>
    <w:rPr>
      <w:rFonts w:ascii="Times New Roman" w:hAnsi="Times New Roman" w:eastAsia="宋体"/>
      <w:kern w:val="2"/>
      <w:sz w:val="24"/>
      <w:szCs w:val="24"/>
    </w:rPr>
  </w:style>
  <w:style w:type="character" w:customStyle="1" w:styleId="25">
    <w:name w:val="批注框文本 字符"/>
    <w:link w:val="9"/>
    <w:autoRedefine/>
    <w:qFormat/>
    <w:uiPriority w:val="0"/>
    <w:rPr>
      <w:rFonts w:ascii="Times New Roman" w:hAnsi="Times New Roman" w:eastAsia="宋体"/>
      <w:kern w:val="2"/>
      <w:sz w:val="18"/>
      <w:szCs w:val="18"/>
    </w:rPr>
  </w:style>
  <w:style w:type="character" w:customStyle="1" w:styleId="26">
    <w:name w:val="页脚 字符"/>
    <w:link w:val="10"/>
    <w:autoRedefine/>
    <w:qFormat/>
    <w:uiPriority w:val="0"/>
    <w:rPr>
      <w:rFonts w:ascii="Times New Roman" w:hAnsi="Times New Roman" w:eastAsia="宋体"/>
      <w:kern w:val="2"/>
      <w:sz w:val="18"/>
      <w:szCs w:val="18"/>
    </w:rPr>
  </w:style>
  <w:style w:type="paragraph" w:customStyle="1" w:styleId="27">
    <w:name w:val="表头、图名"/>
    <w:basedOn w:val="1"/>
    <w:next w:val="1"/>
    <w:autoRedefine/>
    <w:qFormat/>
    <w:uiPriority w:val="0"/>
    <w:pPr>
      <w:ind w:firstLine="0" w:firstLineChars="0"/>
      <w:jc w:val="center"/>
    </w:pPr>
    <w:rPr>
      <w:rFonts w:hint="eastAsia" w:eastAsia="黑体"/>
      <w:sz w:val="21"/>
    </w:rPr>
  </w:style>
  <w:style w:type="paragraph" w:customStyle="1" w:styleId="28">
    <w:name w:val="表格内文字"/>
    <w:basedOn w:val="1"/>
    <w:autoRedefine/>
    <w:qFormat/>
    <w:uiPriority w:val="0"/>
    <w:pPr>
      <w:spacing w:line="240" w:lineRule="auto"/>
      <w:ind w:firstLine="0" w:firstLineChars="0"/>
      <w:jc w:val="center"/>
    </w:pPr>
    <w:rPr>
      <w:rFonts w:hint="eastAsia"/>
      <w:color w:val="000000"/>
      <w:sz w:val="21"/>
      <w:szCs w:val="21"/>
    </w:rPr>
  </w:style>
  <w:style w:type="table" w:customStyle="1" w:styleId="29">
    <w:name w:val="Table Normal"/>
    <w:autoRedefine/>
    <w:unhideWhenUsed/>
    <w:qFormat/>
    <w:uiPriority w:val="0"/>
    <w:tblPr>
      <w:tblCellMar>
        <w:top w:w="0" w:type="dxa"/>
        <w:left w:w="0" w:type="dxa"/>
        <w:bottom w:w="0" w:type="dxa"/>
        <w:right w:w="0" w:type="dxa"/>
      </w:tblCellMar>
    </w:tblPr>
  </w:style>
  <w:style w:type="paragraph" w:customStyle="1" w:styleId="30">
    <w:name w:val="表头文字"/>
    <w:basedOn w:val="1"/>
    <w:autoRedefine/>
    <w:qFormat/>
    <w:uiPriority w:val="0"/>
    <w:pPr>
      <w:adjustRightInd w:val="0"/>
      <w:snapToGrid w:val="0"/>
      <w:spacing w:line="480" w:lineRule="exact"/>
      <w:ind w:firstLine="0" w:firstLineChars="0"/>
      <w:jc w:val="center"/>
    </w:pPr>
    <w:rPr>
      <w:sz w:val="28"/>
      <w:szCs w:val="20"/>
    </w:rPr>
  </w:style>
  <w:style w:type="paragraph" w:customStyle="1" w:styleId="31">
    <w:name w:val="Table Paragraph"/>
    <w:basedOn w:val="1"/>
    <w:autoRedefine/>
    <w:qFormat/>
    <w:uiPriority w:val="1"/>
    <w:pPr>
      <w:autoSpaceDE w:val="0"/>
      <w:autoSpaceDN w:val="0"/>
      <w:adjustRightInd w:val="0"/>
      <w:spacing w:line="240" w:lineRule="auto"/>
      <w:ind w:firstLine="0" w:firstLineChars="0"/>
      <w:jc w:val="left"/>
    </w:pPr>
    <w:rPr>
      <w:kern w:val="0"/>
    </w:rPr>
  </w:style>
  <w:style w:type="paragraph" w:customStyle="1" w:styleId="32">
    <w:name w:val="表格"/>
    <w:basedOn w:val="1"/>
    <w:autoRedefine/>
    <w:qFormat/>
    <w:uiPriority w:val="0"/>
    <w:pPr>
      <w:adjustRightInd w:val="0"/>
      <w:snapToGrid w:val="0"/>
      <w:spacing w:line="240" w:lineRule="auto"/>
      <w:ind w:firstLine="0" w:firstLineChars="0"/>
      <w:jc w:val="center"/>
    </w:pPr>
    <w:rPr>
      <w:bCs/>
      <w:snapToGrid w:val="0"/>
      <w:color w:val="000000"/>
      <w:kern w:val="0"/>
      <w:sz w:val="21"/>
      <w:szCs w:val="20"/>
    </w:rPr>
  </w:style>
  <w:style w:type="paragraph" w:customStyle="1" w:styleId="33">
    <w:name w:val="表格内容"/>
    <w:basedOn w:val="1"/>
    <w:autoRedefine/>
    <w:qFormat/>
    <w:uiPriority w:val="0"/>
    <w:pPr>
      <w:adjustRightInd w:val="0"/>
      <w:snapToGrid w:val="0"/>
      <w:spacing w:line="240" w:lineRule="auto"/>
      <w:ind w:firstLine="0" w:firstLineChars="0"/>
      <w:jc w:val="center"/>
    </w:pPr>
    <w:rPr>
      <w:snapToGrid w:val="0"/>
      <w:color w:val="000000"/>
      <w:kern w:val="0"/>
      <w:sz w:val="21"/>
      <w:szCs w:val="21"/>
    </w:rPr>
  </w:style>
  <w:style w:type="paragraph" w:customStyle="1" w:styleId="34">
    <w:name w:val="Char Char Char Char Char Char Char Char Char Char Char Char1 Char Char Char Char Char Char Char Char Char Char Char Char1 Char"/>
    <w:basedOn w:val="1"/>
    <w:next w:val="1"/>
    <w:autoRedefine/>
    <w:semiHidden/>
    <w:qFormat/>
    <w:uiPriority w:val="0"/>
    <w:pPr>
      <w:adjustRightInd w:val="0"/>
      <w:snapToGrid w:val="0"/>
      <w:spacing w:line="336" w:lineRule="auto"/>
      <w:ind w:firstLine="480"/>
    </w:pPr>
    <w:rPr>
      <w:rFonts w:ascii="宋体" w:hAnsi="宋体" w:eastAsia="汉鼎简书宋" w:cs="宋体"/>
    </w:rPr>
  </w:style>
  <w:style w:type="paragraph" w:customStyle="1" w:styleId="35">
    <w:name w:val="Char Char Char Char Char Char Char Char Char Char Char Char1 Char Char Char Char Char Char Char Char Char Char Char Char1 Char1"/>
    <w:basedOn w:val="1"/>
    <w:next w:val="1"/>
    <w:autoRedefine/>
    <w:semiHidden/>
    <w:qFormat/>
    <w:uiPriority w:val="0"/>
    <w:pPr>
      <w:adjustRightInd w:val="0"/>
      <w:snapToGrid w:val="0"/>
      <w:spacing w:line="336" w:lineRule="auto"/>
      <w:ind w:firstLine="480"/>
    </w:pPr>
    <w:rPr>
      <w:rFonts w:ascii="宋体" w:hAnsi="宋体" w:eastAsia="汉鼎简书宋" w:cs="宋体"/>
    </w:rPr>
  </w:style>
  <w:style w:type="paragraph" w:customStyle="1" w:styleId="36">
    <w:name w:val="Char Char Char Char Char Char Char Char Char Char Char Char1 Char Char Char Char Char Char Char Char Char Char Char Char1 Char2"/>
    <w:basedOn w:val="1"/>
    <w:next w:val="1"/>
    <w:autoRedefine/>
    <w:semiHidden/>
    <w:qFormat/>
    <w:uiPriority w:val="0"/>
    <w:pPr>
      <w:adjustRightInd w:val="0"/>
      <w:snapToGrid w:val="0"/>
      <w:spacing w:line="336" w:lineRule="auto"/>
      <w:ind w:firstLine="480"/>
    </w:pPr>
    <w:rPr>
      <w:rFonts w:ascii="宋体" w:hAnsi="宋体" w:eastAsia="汉鼎简书宋" w:cs="宋体"/>
    </w:rPr>
  </w:style>
  <w:style w:type="paragraph" w:customStyle="1" w:styleId="37">
    <w:name w:val="Char Char Char Char Char Char Char Char Char Char Char Char1 Char Char Char Char Char Char Char Char Char Char Char Char1 Char3"/>
    <w:basedOn w:val="1"/>
    <w:next w:val="1"/>
    <w:autoRedefine/>
    <w:semiHidden/>
    <w:qFormat/>
    <w:uiPriority w:val="0"/>
    <w:pPr>
      <w:adjustRightInd w:val="0"/>
      <w:snapToGrid w:val="0"/>
      <w:spacing w:line="336" w:lineRule="auto"/>
      <w:ind w:firstLine="480"/>
    </w:pPr>
    <w:rPr>
      <w:rFonts w:ascii="宋体" w:hAnsi="宋体" w:eastAsia="汉鼎简书宋" w:cs="宋体"/>
    </w:rPr>
  </w:style>
  <w:style w:type="paragraph" w:customStyle="1" w:styleId="38">
    <w:name w:val="Char Char Char Char Char Char Char Char Char Char Char Char1 Char Char Char Char Char Char Char Char Char Char Char Char1 Char4"/>
    <w:basedOn w:val="1"/>
    <w:next w:val="1"/>
    <w:autoRedefine/>
    <w:semiHidden/>
    <w:qFormat/>
    <w:uiPriority w:val="0"/>
    <w:pPr>
      <w:adjustRightInd w:val="0"/>
      <w:snapToGrid w:val="0"/>
      <w:spacing w:line="336" w:lineRule="auto"/>
      <w:ind w:firstLine="480"/>
    </w:pPr>
    <w:rPr>
      <w:rFonts w:ascii="宋体" w:hAnsi="宋体" w:eastAsia="汉鼎简书宋" w:cs="宋体"/>
    </w:rPr>
  </w:style>
  <w:style w:type="character" w:customStyle="1" w:styleId="39">
    <w:name w:val="正文文本 字符"/>
    <w:basedOn w:val="17"/>
    <w:autoRedefine/>
    <w:qFormat/>
    <w:uiPriority w:val="0"/>
    <w:rPr>
      <w:kern w:val="2"/>
      <w:sz w:val="24"/>
      <w:szCs w:val="24"/>
    </w:rPr>
  </w:style>
  <w:style w:type="character" w:customStyle="1" w:styleId="40">
    <w:name w:val="正文文本 字符1"/>
    <w:link w:val="2"/>
    <w:autoRedefine/>
    <w:qFormat/>
    <w:uiPriority w:val="99"/>
    <w:rPr>
      <w:rFonts w:ascii="宋体" w:hAnsi="宋体"/>
      <w:kern w:val="2"/>
      <w:sz w:val="28"/>
      <w:szCs w:val="24"/>
    </w:rPr>
  </w:style>
  <w:style w:type="paragraph" w:customStyle="1" w:styleId="41">
    <w:name w:val="Char Char Char Char Char Char Char Char Char Char Char Char1 Char Char Char Char Char Char Char Char Char Char Char Char1 Char5"/>
    <w:basedOn w:val="1"/>
    <w:next w:val="1"/>
    <w:autoRedefine/>
    <w:semiHidden/>
    <w:qFormat/>
    <w:uiPriority w:val="0"/>
    <w:pPr>
      <w:adjustRightInd w:val="0"/>
      <w:snapToGrid w:val="0"/>
      <w:spacing w:line="336" w:lineRule="auto"/>
      <w:ind w:firstLine="480"/>
    </w:pPr>
    <w:rPr>
      <w:rFonts w:ascii="宋体" w:hAnsi="宋体" w:eastAsia="汉鼎简书宋" w:cs="宋体"/>
    </w:rPr>
  </w:style>
  <w:style w:type="paragraph" w:customStyle="1" w:styleId="42">
    <w:name w:val="正文缩进1"/>
    <w:basedOn w:val="1"/>
    <w:qFormat/>
    <w:uiPriority w:val="0"/>
    <w:pPr>
      <w:spacing w:line="520" w:lineRule="exact"/>
      <w:ind w:firstLine="624"/>
    </w:pPr>
    <w:rPr>
      <w:sz w:val="28"/>
    </w:rPr>
  </w:style>
  <w:style w:type="character" w:customStyle="1" w:styleId="43">
    <w:name w:val="font21"/>
    <w:basedOn w:val="17"/>
    <w:qFormat/>
    <w:uiPriority w:val="0"/>
    <w:rPr>
      <w:rFonts w:hint="default" w:ascii="Times New Roman" w:hAnsi="Times New Roman" w:cs="Times New Roman"/>
      <w:color w:val="000000"/>
      <w:sz w:val="21"/>
      <w:szCs w:val="21"/>
      <w:u w:val="none"/>
    </w:rPr>
  </w:style>
  <w:style w:type="character" w:customStyle="1" w:styleId="44">
    <w:name w:val="font11"/>
    <w:basedOn w:val="17"/>
    <w:qFormat/>
    <w:uiPriority w:val="0"/>
    <w:rPr>
      <w:rFonts w:hint="eastAsia" w:ascii="宋体" w:hAnsi="宋体" w:eastAsia="宋体" w:cs="宋体"/>
      <w:color w:val="000000"/>
      <w:sz w:val="21"/>
      <w:szCs w:val="21"/>
      <w:u w:val="none"/>
    </w:rPr>
  </w:style>
  <w:style w:type="paragraph" w:customStyle="1" w:styleId="45">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6">
    <w:name w:val="【华瑞正文】"/>
    <w:basedOn w:val="1"/>
    <w:autoRedefine/>
    <w:qFormat/>
    <w:uiPriority w:val="0"/>
    <w:pPr>
      <w:spacing w:line="520" w:lineRule="exact"/>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1DA64E-830F-48C0-89BF-9C2A8ABC7A2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51</Pages>
  <Words>482</Words>
  <Characters>536</Characters>
  <Lines>426</Lines>
  <Paragraphs>120</Paragraphs>
  <TotalTime>0</TotalTime>
  <ScaleCrop>false</ScaleCrop>
  <LinksUpToDate>false</LinksUpToDate>
  <CharactersWithSpaces>3360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2024-08-06T00:59:00Z</dcterms:created>
  <dc:creator>lhj</dc:creator>
  <cp:lastModifiedBy>Administrator</cp:lastModifiedBy>
  <cp:lastPrinted>2025-03-17T03:20:00Z</cp:lastPrinted>
  <dcterms:modified xsi:type="dcterms:W3CDTF">2025-04-27T02:38:15Z</dcterms:modified>
  <cp:revision>457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BBB45D85CAD24DBB82D1436BE1F03A69_13</vt:lpwstr>
  </property>
  <property fmtid="{D5CDD505-2E9C-101B-9397-08002B2CF9AE}" pid="4" name="KSOTemplateDocerSaveRecord">
    <vt:lpwstr>eyJoZGlkIjoiZjQyNzAwNDBjZjM2Y2RjMWIwZjU1YjcxZmE0Y2FmYTEifQ==</vt:lpwstr>
  </property>
</Properties>
</file>